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2B63" w14:textId="008200F8" w:rsidR="004C69B5" w:rsidRPr="00AB3F29" w:rsidRDefault="004C69B5" w:rsidP="004C69B5">
      <w:pPr>
        <w:spacing w:after="0" w:line="276" w:lineRule="auto"/>
        <w:jc w:val="both"/>
        <w:rPr>
          <w:rFonts w:eastAsia="Times New Roman"/>
          <w:szCs w:val="24"/>
        </w:rPr>
      </w:pPr>
      <w:r w:rsidRPr="00AB3F29">
        <w:rPr>
          <w:rFonts w:eastAsia="Times New Roman"/>
          <w:szCs w:val="24"/>
        </w:rPr>
        <w:t>Socialinės apsaugos ir darbo ministerijai</w:t>
      </w:r>
      <w:r w:rsidRPr="00AB3F29">
        <w:rPr>
          <w:rFonts w:eastAsia="Times New Roman"/>
          <w:szCs w:val="24"/>
        </w:rPr>
        <w:tab/>
        <w:t xml:space="preserve">  202</w:t>
      </w:r>
      <w:r>
        <w:rPr>
          <w:rFonts w:eastAsia="Times New Roman"/>
          <w:szCs w:val="24"/>
        </w:rPr>
        <w:t>2</w:t>
      </w:r>
      <w:r w:rsidRPr="00AB3F29">
        <w:rPr>
          <w:rFonts w:eastAsia="Times New Roman"/>
          <w:szCs w:val="24"/>
        </w:rPr>
        <w:t>-</w:t>
      </w:r>
      <w:r w:rsidR="00E27833">
        <w:rPr>
          <w:rFonts w:eastAsia="Times New Roman"/>
          <w:szCs w:val="24"/>
        </w:rPr>
        <w:t xml:space="preserve">05- </w:t>
      </w:r>
      <w:r w:rsidRPr="00AB3F29">
        <w:rPr>
          <w:rFonts w:eastAsia="Times New Roman"/>
          <w:szCs w:val="24"/>
        </w:rPr>
        <w:t xml:space="preserve">    </w:t>
      </w:r>
      <w:r w:rsidRPr="00D60FBB">
        <w:rPr>
          <w:rFonts w:eastAsia="Times New Roman"/>
          <w:szCs w:val="24"/>
        </w:rPr>
        <w:t>Nr. (1.19 -2022-</w:t>
      </w:r>
      <w:r w:rsidR="00E27833">
        <w:rPr>
          <w:rFonts w:eastAsia="Times New Roman"/>
          <w:szCs w:val="24"/>
        </w:rPr>
        <w:t>99/100</w:t>
      </w:r>
      <w:r w:rsidRPr="00D60FBB">
        <w:rPr>
          <w:rFonts w:eastAsia="Times New Roman"/>
          <w:szCs w:val="24"/>
        </w:rPr>
        <w:t>)2-</w:t>
      </w:r>
    </w:p>
    <w:p w14:paraId="79114F1A" w14:textId="77777777" w:rsidR="004C69B5" w:rsidRPr="00AB3F29" w:rsidRDefault="004C69B5" w:rsidP="004C69B5">
      <w:pPr>
        <w:tabs>
          <w:tab w:val="left" w:pos="4536"/>
        </w:tabs>
        <w:spacing w:after="0" w:line="276" w:lineRule="auto"/>
        <w:jc w:val="both"/>
        <w:rPr>
          <w:rFonts w:eastAsia="Times New Roman"/>
          <w:szCs w:val="24"/>
        </w:rPr>
      </w:pPr>
      <w:r w:rsidRPr="00AB3F29">
        <w:rPr>
          <w:rFonts w:eastAsia="Times New Roman"/>
          <w:szCs w:val="24"/>
        </w:rPr>
        <w:t>El. paštas post@socmin.lt</w:t>
      </w:r>
      <w:r w:rsidRPr="00AB3F29">
        <w:rPr>
          <w:rFonts w:eastAsia="Times New Roman"/>
          <w:szCs w:val="24"/>
        </w:rPr>
        <w:tab/>
      </w:r>
    </w:p>
    <w:p w14:paraId="281485FE" w14:textId="77777777" w:rsidR="004C69B5" w:rsidRDefault="004C69B5" w:rsidP="004C69B5">
      <w:pPr>
        <w:tabs>
          <w:tab w:val="left" w:pos="4536"/>
        </w:tabs>
        <w:spacing w:after="0" w:line="276" w:lineRule="auto"/>
        <w:jc w:val="both"/>
        <w:rPr>
          <w:rFonts w:eastAsia="Times New Roman"/>
          <w:szCs w:val="24"/>
        </w:rPr>
      </w:pPr>
    </w:p>
    <w:p w14:paraId="36652A54" w14:textId="77777777" w:rsidR="004C69B5" w:rsidRDefault="004C69B5" w:rsidP="004C69B5">
      <w:pPr>
        <w:tabs>
          <w:tab w:val="left" w:pos="4536"/>
        </w:tabs>
        <w:spacing w:after="0" w:line="276" w:lineRule="auto"/>
        <w:jc w:val="both"/>
        <w:rPr>
          <w:rFonts w:eastAsia="Times New Roman"/>
          <w:szCs w:val="24"/>
        </w:rPr>
      </w:pPr>
    </w:p>
    <w:p w14:paraId="6215B62D" w14:textId="77777777" w:rsidR="004C69B5" w:rsidRPr="00AB3F29" w:rsidRDefault="004C69B5" w:rsidP="004C69B5">
      <w:pPr>
        <w:tabs>
          <w:tab w:val="left" w:pos="4536"/>
        </w:tabs>
        <w:spacing w:after="0" w:line="276" w:lineRule="auto"/>
        <w:jc w:val="both"/>
        <w:rPr>
          <w:rFonts w:eastAsia="Times New Roman"/>
          <w:szCs w:val="24"/>
        </w:rPr>
      </w:pPr>
    </w:p>
    <w:p w14:paraId="75FAB822" w14:textId="228096AA" w:rsidR="004C69B5" w:rsidRDefault="004C69B5" w:rsidP="004C69B5">
      <w:pPr>
        <w:spacing w:after="0" w:line="276" w:lineRule="auto"/>
        <w:jc w:val="both"/>
      </w:pPr>
      <w:r w:rsidRPr="00AB3F29">
        <w:rPr>
          <w:rFonts w:eastAsia="Times New Roman"/>
          <w:b/>
          <w:bCs/>
          <w:caps/>
          <w:szCs w:val="24"/>
        </w:rPr>
        <w:t>DĖL</w:t>
      </w:r>
      <w:r>
        <w:rPr>
          <w:rFonts w:eastAsia="Times New Roman"/>
          <w:b/>
          <w:bCs/>
          <w:caps/>
          <w:szCs w:val="24"/>
        </w:rPr>
        <w:t xml:space="preserve"> </w:t>
      </w:r>
      <w:r w:rsidR="00E27833">
        <w:rPr>
          <w:rFonts w:eastAsia="Times New Roman"/>
          <w:b/>
          <w:bCs/>
          <w:caps/>
          <w:szCs w:val="24"/>
        </w:rPr>
        <w:t xml:space="preserve">ĮSAKYMO PROJEKTO </w:t>
      </w:r>
      <w:r>
        <w:rPr>
          <w:rFonts w:eastAsia="Times New Roman"/>
          <w:b/>
          <w:bCs/>
          <w:caps/>
          <w:szCs w:val="24"/>
        </w:rPr>
        <w:t>nR.22-</w:t>
      </w:r>
      <w:r w:rsidR="00E27833">
        <w:rPr>
          <w:rFonts w:eastAsia="Times New Roman"/>
          <w:b/>
          <w:bCs/>
          <w:caps/>
          <w:szCs w:val="24"/>
        </w:rPr>
        <w:t>6183</w:t>
      </w:r>
      <w:r>
        <w:rPr>
          <w:rFonts w:eastAsia="Times New Roman"/>
          <w:b/>
          <w:bCs/>
          <w:caps/>
          <w:szCs w:val="24"/>
        </w:rPr>
        <w:t xml:space="preserve"> DERINIMO</w:t>
      </w:r>
    </w:p>
    <w:p w14:paraId="2E76DDC0" w14:textId="77777777" w:rsidR="004C69B5" w:rsidRDefault="004C69B5" w:rsidP="004C69B5">
      <w:pPr>
        <w:spacing w:after="0" w:line="276" w:lineRule="auto"/>
        <w:ind w:firstLine="709"/>
        <w:jc w:val="both"/>
        <w:rPr>
          <w:rFonts w:eastAsia="Times New Roman"/>
          <w:szCs w:val="24"/>
        </w:rPr>
      </w:pPr>
    </w:p>
    <w:p w14:paraId="2125C9B9" w14:textId="77777777" w:rsidR="004C69B5" w:rsidRPr="006E08A0" w:rsidRDefault="004C69B5" w:rsidP="004C69B5">
      <w:pPr>
        <w:spacing w:after="0" w:line="276" w:lineRule="auto"/>
        <w:ind w:firstLine="709"/>
        <w:jc w:val="both"/>
        <w:rPr>
          <w:rFonts w:eastAsia="Times New Roman"/>
          <w:szCs w:val="24"/>
        </w:rPr>
      </w:pPr>
    </w:p>
    <w:p w14:paraId="41B86FCF" w14:textId="45583490" w:rsidR="004C69B5" w:rsidRPr="006E08A0" w:rsidRDefault="004C69B5" w:rsidP="00E27833">
      <w:pPr>
        <w:spacing w:after="0" w:line="276" w:lineRule="auto"/>
        <w:ind w:firstLine="567"/>
        <w:jc w:val="both"/>
        <w:rPr>
          <w:szCs w:val="24"/>
        </w:rPr>
      </w:pPr>
      <w:r w:rsidRPr="006E08A0">
        <w:rPr>
          <w:rFonts w:eastAsia="Times New Roman"/>
          <w:szCs w:val="24"/>
        </w:rPr>
        <w:t>Vaiko teisių apsaugos kontrolierė, susipažinusi su pateikt</w:t>
      </w:r>
      <w:r w:rsidR="00E27833">
        <w:rPr>
          <w:rFonts w:eastAsia="Times New Roman"/>
          <w:szCs w:val="24"/>
        </w:rPr>
        <w:t>u</w:t>
      </w:r>
      <w:r w:rsidRPr="006E08A0">
        <w:rPr>
          <w:rFonts w:eastAsia="Times New Roman"/>
          <w:szCs w:val="24"/>
        </w:rPr>
        <w:t xml:space="preserve"> derinti</w:t>
      </w:r>
      <w:r w:rsidRPr="006E08A0">
        <w:rPr>
          <w:rFonts w:eastAsia="Times New Roman"/>
          <w:b/>
          <w:bCs/>
          <w:caps/>
          <w:szCs w:val="24"/>
        </w:rPr>
        <w:t xml:space="preserve"> </w:t>
      </w:r>
      <w:r w:rsidR="00E27833">
        <w:rPr>
          <w:szCs w:val="24"/>
        </w:rPr>
        <w:t>Lietuvos Respublikos socialinės apsaugos ir darbo ministro įsakymo „</w:t>
      </w:r>
      <w:r w:rsidR="00E27833">
        <w:rPr>
          <w:bCs/>
          <w:szCs w:val="24"/>
        </w:rPr>
        <w:t xml:space="preserve">Dėl Vaikų globos (rūpybos) apskaitos tvarkos aprašo patvirtinimo“ projektu Nr.22-6183 (toliau – Projektas), </w:t>
      </w:r>
      <w:r w:rsidRPr="006E08A0">
        <w:rPr>
          <w:szCs w:val="24"/>
        </w:rPr>
        <w:t xml:space="preserve">pagal kompetenciją teikia šias pastabas (pasiūlymus) </w:t>
      </w:r>
      <w:r w:rsidR="00E27833">
        <w:rPr>
          <w:szCs w:val="24"/>
        </w:rPr>
        <w:t>P</w:t>
      </w:r>
      <w:r w:rsidRPr="006E08A0">
        <w:rPr>
          <w:szCs w:val="24"/>
        </w:rPr>
        <w:t>rojekt</w:t>
      </w:r>
      <w:r w:rsidR="00E27833">
        <w:rPr>
          <w:szCs w:val="24"/>
        </w:rPr>
        <w:t>o</w:t>
      </w:r>
      <w:r w:rsidRPr="006E08A0">
        <w:rPr>
          <w:szCs w:val="24"/>
        </w:rPr>
        <w:t xml:space="preserve"> tobulinimui:</w:t>
      </w:r>
    </w:p>
    <w:p w14:paraId="14D7590E" w14:textId="42695724" w:rsidR="00E27833" w:rsidRDefault="004C69B5" w:rsidP="00E27833">
      <w:pPr>
        <w:spacing w:after="0" w:line="276" w:lineRule="auto"/>
        <w:ind w:firstLine="720"/>
        <w:jc w:val="both"/>
        <w:rPr>
          <w:color w:val="000000"/>
          <w:szCs w:val="24"/>
          <w:shd w:val="clear" w:color="auto" w:fill="FFFFFF"/>
        </w:rPr>
      </w:pPr>
      <w:r w:rsidRPr="006E08A0">
        <w:rPr>
          <w:szCs w:val="24"/>
        </w:rPr>
        <w:t xml:space="preserve">1. </w:t>
      </w:r>
      <w:r w:rsidR="00E27833">
        <w:rPr>
          <w:szCs w:val="24"/>
        </w:rPr>
        <w:t>Projekto 1 punkto formuluotė „</w:t>
      </w:r>
      <w:r w:rsidR="00E27833">
        <w:t xml:space="preserve">vaikus, kuriems nustatyta globa (rūpyba)“ suponuoja, kad </w:t>
      </w:r>
      <w:r w:rsidR="00E27833">
        <w:rPr>
          <w:color w:val="000000"/>
          <w:szCs w:val="24"/>
          <w:shd w:val="clear" w:color="auto" w:fill="FFFFFF"/>
        </w:rPr>
        <w:t xml:space="preserve">Socialinės paramos informacinėje sistemoje bus centralizuotai tvarkomi ir saugomi duomenys apie vaikus, kuriems globa (rūpyba) nustatyta Lietuvos Respublikoje, ir duomenys apie vaikus, kuriems globa (rūpyba) buvo nustatyta kitose valstybėse, tačiau tarptautinių dvišalių ar kitų sutarčių pagrindu globa buvo perduota kompetentingos Lietuvos Respublikos institucijoms, o pastarosios sutiko ją perimti. </w:t>
      </w:r>
    </w:p>
    <w:p w14:paraId="07B162F2" w14:textId="5ECDB64C" w:rsidR="00E27833" w:rsidRDefault="00E27833" w:rsidP="00E27833">
      <w:pPr>
        <w:spacing w:after="0" w:line="276" w:lineRule="auto"/>
        <w:ind w:firstLine="720"/>
        <w:jc w:val="both"/>
        <w:rPr>
          <w:rFonts w:eastAsia="Times New Roman"/>
        </w:rPr>
      </w:pPr>
      <w:r>
        <w:rPr>
          <w:color w:val="000000"/>
          <w:szCs w:val="24"/>
          <w:shd w:val="clear" w:color="auto" w:fill="FFFFFF"/>
        </w:rPr>
        <w:t>Todėl, tuo atveju, jei Projekto rengėjų tikslas buvo išplėsti centralizuotai tvarkomų ir saugomų duomenų apimtį aukščiau nurodytu aspektu, siūlytina papildyti Projekto 1 punktą ir nustatyti, jog tokiais atvejais turėtų būti tvarkomi duomenys ir apie užsienio valstybių subjektus, nustačiusius vaikui globą (rūpybą).</w:t>
      </w:r>
    </w:p>
    <w:p w14:paraId="3D10A74B" w14:textId="3A6F04F2" w:rsidR="00E27833" w:rsidRDefault="00E27833" w:rsidP="00E27833">
      <w:pPr>
        <w:widowControl w:val="0"/>
        <w:spacing w:after="0" w:line="276" w:lineRule="auto"/>
        <w:ind w:firstLine="567"/>
        <w:jc w:val="both"/>
        <w:rPr>
          <w:color w:val="000000"/>
          <w:szCs w:val="24"/>
          <w:shd w:val="clear" w:color="auto" w:fill="FFFFFF"/>
        </w:rPr>
      </w:pPr>
      <w:r>
        <w:t xml:space="preserve">Jeigu Projekto rengėjai neturi tikslo </w:t>
      </w:r>
      <w:r>
        <w:rPr>
          <w:color w:val="000000"/>
          <w:szCs w:val="24"/>
          <w:shd w:val="clear" w:color="auto" w:fill="FFFFFF"/>
        </w:rPr>
        <w:t>Socialinės paramos informacinėje sistemoje centralizuotai tvarkyti ir saugoti duomenų apie vaikus, kuriems globa (rūpyba) nustatyta užsienio valstybėse, bet Lietuvos Respublikos kompetentingos (įgaliotos) įstaigos perėmė globą, siūlytina patikslinti Projekto 1 punkto formuluotę, po žodžių „vaikus, kuriems“ įrašant žodžių junginį „Lietuvos Respublikoje“. Ši pastaba galioja ir Projekto 6.1 punktui</w:t>
      </w:r>
      <w:r w:rsidR="005B4E26">
        <w:rPr>
          <w:color w:val="000000"/>
          <w:szCs w:val="24"/>
          <w:shd w:val="clear" w:color="auto" w:fill="FFFFFF"/>
        </w:rPr>
        <w:t>.</w:t>
      </w:r>
    </w:p>
    <w:p w14:paraId="12995D6E" w14:textId="28796D79" w:rsidR="00E27833" w:rsidRDefault="00E27833" w:rsidP="00E27833">
      <w:pPr>
        <w:spacing w:line="276" w:lineRule="auto"/>
        <w:ind w:firstLine="720"/>
        <w:jc w:val="both"/>
        <w:rPr>
          <w:color w:val="000000"/>
          <w:szCs w:val="24"/>
          <w:shd w:val="clear" w:color="auto" w:fill="FFFFFF"/>
        </w:rPr>
      </w:pPr>
      <w:r>
        <w:rPr>
          <w:color w:val="000000"/>
          <w:szCs w:val="24"/>
          <w:shd w:val="clear" w:color="auto" w:fill="FFFFFF"/>
        </w:rPr>
        <w:t>2. Įvertinant aplinkybę, kad iš Projekto 1 punkte pateiktos formuluotės „asmenis, su kuriais sudaryta tarpusavio bendradarbiavimo ir paslaugų teikimo sutartis buvo nutraukta dėl netinkamo jos vykdymo“ neaišku kokių asmenų, su kuriais buvo nutrauktos sutartys, sudarytos su nenurodytais subjektais, duomenys bus tvarkomi Socialinės paramos informacinėje sistemoje, taip pat siekiant Projekto nuostatų tarpusavio dermės (1, 4.3, 4.4 punktai) siūlytina tobulinti ir papildyti  Projekto 1 punkto formuluotę, po žodžių junginio „</w:t>
      </w:r>
      <w:r>
        <w:t>globėjus (rūpintojus), nušalintus nuo vaiko globėjo (rūpintojo) pareigų“ įrašyti „budinčius globotojus, su kuriais globos centras yra sudaręs bendradarbiavimo ir paslaugų teikimo sutartis, budinčius globotojus</w:t>
      </w:r>
      <w:r>
        <w:rPr>
          <w:szCs w:val="24"/>
        </w:rPr>
        <w:t xml:space="preserve">, </w:t>
      </w:r>
      <w:r>
        <w:rPr>
          <w:color w:val="000000"/>
          <w:szCs w:val="24"/>
          <w:shd w:val="clear" w:color="auto" w:fill="FFFFFF"/>
        </w:rPr>
        <w:t>su kuriais globos centro sudaryta tarpusavio bendradarbiavimo ir paslaugų teikimo sutartis buvo nutraukta dėl netinkamo jos vykdymo“.</w:t>
      </w:r>
    </w:p>
    <w:p w14:paraId="55697780" w14:textId="5D7435B7" w:rsidR="00E27833" w:rsidRDefault="00E27833" w:rsidP="00E27833">
      <w:pPr>
        <w:spacing w:after="0" w:line="276" w:lineRule="auto"/>
        <w:ind w:firstLine="720"/>
        <w:jc w:val="both"/>
        <w:rPr>
          <w:color w:val="000000"/>
          <w:szCs w:val="24"/>
          <w:shd w:val="clear" w:color="auto" w:fill="FFFFFF"/>
        </w:rPr>
      </w:pPr>
      <w:r>
        <w:rPr>
          <w:color w:val="000000"/>
          <w:szCs w:val="24"/>
          <w:shd w:val="clear" w:color="auto" w:fill="FFFFFF"/>
        </w:rPr>
        <w:t>3. Siūlytina suderinti Projekto 4.2 punkto formuluotę su Civilinio kodekso 3.252 straipsnio 2 dalies 3 punkto, 3.253 straipsnio 1 dalies, 3.256 straipsnio nuostatomis (pagal kurią globos centras skiriamas vaiko globėju) ir išdėstyti ją taip:</w:t>
      </w:r>
    </w:p>
    <w:p w14:paraId="7C7DA8A0" w14:textId="78AABA2C" w:rsidR="00E27833" w:rsidRDefault="00E27833" w:rsidP="00E27833">
      <w:pPr>
        <w:spacing w:after="0" w:line="276" w:lineRule="auto"/>
        <w:ind w:firstLine="720"/>
        <w:jc w:val="both"/>
      </w:pPr>
      <w:r>
        <w:rPr>
          <w:color w:val="000000"/>
          <w:szCs w:val="24"/>
          <w:shd w:val="clear" w:color="auto" w:fill="FFFFFF"/>
        </w:rPr>
        <w:t>„</w:t>
      </w:r>
      <w:r>
        <w:rPr>
          <w:lang w:eastAsia="lt-LT"/>
        </w:rPr>
        <w:t>4.2. globos centro globojamus (rūpinamus) vaikus (vaiko vardas, pavardė, gimimo data) bei juos prižiūrinčius budinčius globotojus (budinčio globotojo vardas, pavardė, asmens kodas)</w:t>
      </w:r>
      <w:r>
        <w:t>;“</w:t>
      </w:r>
    </w:p>
    <w:p w14:paraId="48B51C2D" w14:textId="7DF2E539" w:rsidR="00E27833" w:rsidRDefault="00E27833" w:rsidP="00E27833">
      <w:pPr>
        <w:spacing w:after="0" w:line="276" w:lineRule="auto"/>
        <w:ind w:firstLine="720"/>
        <w:jc w:val="both"/>
      </w:pPr>
      <w:r>
        <w:t>4. Įvertinant aplinkybę, jog globos centras gali sudaryti bendradarbiavimo ir paslaugų sutartis su asmenimis, teikiančiais ir kitas, su vaikų priežiūra ir budinčio globotojo veikla nesusijusias paslaugas, Tikslinti Projekto 4.4. punkto formuluotę, vietoj žodžio „asmenis“ įrašant „budinčius globotojus“.</w:t>
      </w:r>
    </w:p>
    <w:p w14:paraId="6A50B311" w14:textId="6D62AFA0" w:rsidR="00E27833" w:rsidRDefault="00E27833" w:rsidP="00E27833">
      <w:pPr>
        <w:spacing w:after="0" w:line="276" w:lineRule="auto"/>
        <w:ind w:firstLine="720"/>
        <w:jc w:val="both"/>
        <w:rPr>
          <w:rFonts w:eastAsia="Times New Roman"/>
        </w:rPr>
      </w:pPr>
      <w:r>
        <w:t>5. Papildyti Projekto 5 punkto formuluotę, nustatant, jog renkami ir tvarkomi duomenys apie globojamų ir galimų globoti vaikų skaičių.</w:t>
      </w:r>
    </w:p>
    <w:p w14:paraId="4E3DA331" w14:textId="13815C22" w:rsidR="00E27833" w:rsidRDefault="00E27833" w:rsidP="00E27833">
      <w:pPr>
        <w:spacing w:after="0" w:line="276" w:lineRule="auto"/>
        <w:ind w:firstLine="720"/>
        <w:jc w:val="both"/>
        <w:rPr>
          <w:color w:val="000000"/>
          <w:szCs w:val="24"/>
          <w:shd w:val="clear" w:color="auto" w:fill="FFFFFF"/>
        </w:rPr>
      </w:pPr>
      <w:r>
        <w:rPr>
          <w:color w:val="000000"/>
          <w:szCs w:val="24"/>
          <w:shd w:val="clear" w:color="auto" w:fill="FFFFFF"/>
        </w:rPr>
        <w:t xml:space="preserve">6. Tuo atveju, jei Projekto rengėjų tikslas yra Socialinės paramos informacinėje sistemoje centralizuotai tvarkyti ir saugoti duomenis ir apie vaikus, kuriems globa (rūpyba) nustatyta užsienio valstybėje, tačiau perduota Lietuvos Respublikos kompetentingai institucijai, siūlytina svarstyti tikslingumą tikslinti Projekto 6 punkto formuluotę ir išplėsti tvarkomų duomenų apie vaikus, kuriems nustatyta globa (rūpyba), apimtį, nustatant, jog renkami duomenys </w:t>
      </w:r>
      <w:r w:rsidR="005B4E26">
        <w:rPr>
          <w:color w:val="000000"/>
          <w:szCs w:val="24"/>
          <w:shd w:val="clear" w:color="auto" w:fill="FFFFFF"/>
        </w:rPr>
        <w:t xml:space="preserve">ir </w:t>
      </w:r>
      <w:r>
        <w:rPr>
          <w:color w:val="000000"/>
          <w:szCs w:val="24"/>
          <w:shd w:val="clear" w:color="auto" w:fill="FFFFFF"/>
        </w:rPr>
        <w:t>apie institucijas (subjektus), nustačiusias vaikui globą (rūpybą).</w:t>
      </w:r>
    </w:p>
    <w:p w14:paraId="59627CA6" w14:textId="77777777" w:rsidR="00E27833" w:rsidRDefault="00E27833" w:rsidP="00E27833">
      <w:pPr>
        <w:widowControl w:val="0"/>
        <w:spacing w:after="0" w:line="276" w:lineRule="auto"/>
        <w:ind w:firstLine="567"/>
        <w:jc w:val="both"/>
        <w:rPr>
          <w:szCs w:val="24"/>
        </w:rPr>
      </w:pPr>
    </w:p>
    <w:p w14:paraId="7D589C09" w14:textId="483E4E27" w:rsidR="00E27833" w:rsidRDefault="00E27833" w:rsidP="004C69B5">
      <w:pPr>
        <w:widowControl w:val="0"/>
        <w:spacing w:after="0" w:line="276" w:lineRule="auto"/>
        <w:ind w:firstLine="567"/>
        <w:jc w:val="both"/>
        <w:rPr>
          <w:szCs w:val="24"/>
        </w:rPr>
      </w:pPr>
    </w:p>
    <w:p w14:paraId="194909E2" w14:textId="77777777" w:rsidR="00E27833" w:rsidRDefault="00E27833" w:rsidP="004C69B5">
      <w:pPr>
        <w:widowControl w:val="0"/>
        <w:spacing w:after="0" w:line="276" w:lineRule="auto"/>
        <w:ind w:firstLine="567"/>
        <w:jc w:val="both"/>
        <w:rPr>
          <w:szCs w:val="24"/>
        </w:rPr>
      </w:pPr>
    </w:p>
    <w:p w14:paraId="38BA7A9D" w14:textId="77777777" w:rsidR="004C69B5" w:rsidRPr="00AB3F29" w:rsidRDefault="004C69B5" w:rsidP="004C69B5">
      <w:pPr>
        <w:tabs>
          <w:tab w:val="left" w:pos="8080"/>
        </w:tabs>
        <w:spacing w:after="0" w:line="276" w:lineRule="auto"/>
        <w:jc w:val="both"/>
        <w:rPr>
          <w:rFonts w:eastAsia="Times New Roman"/>
          <w:szCs w:val="24"/>
        </w:rPr>
      </w:pPr>
      <w:r w:rsidRPr="00AB3F29">
        <w:rPr>
          <w:rFonts w:eastAsia="Times New Roman"/>
          <w:szCs w:val="24"/>
        </w:rPr>
        <w:t>Vaiko teisių apsaugos kontrolierė</w:t>
      </w:r>
      <w:r w:rsidRPr="00AB3F29">
        <w:rPr>
          <w:rFonts w:eastAsia="Times New Roman"/>
          <w:szCs w:val="24"/>
        </w:rPr>
        <w:tab/>
        <w:t xml:space="preserve">Edita </w:t>
      </w:r>
      <w:proofErr w:type="spellStart"/>
      <w:r w:rsidRPr="00AB3F29">
        <w:rPr>
          <w:rFonts w:eastAsia="Times New Roman"/>
          <w:szCs w:val="24"/>
        </w:rPr>
        <w:t>Žiobienė</w:t>
      </w:r>
      <w:proofErr w:type="spellEnd"/>
    </w:p>
    <w:p w14:paraId="64FEA71C" w14:textId="77777777" w:rsidR="004C69B5" w:rsidRPr="00AB3F29" w:rsidRDefault="004C69B5" w:rsidP="004C69B5">
      <w:pPr>
        <w:tabs>
          <w:tab w:val="left" w:pos="7371"/>
          <w:tab w:val="left" w:pos="8080"/>
        </w:tabs>
        <w:spacing w:after="0" w:line="276" w:lineRule="auto"/>
        <w:ind w:firstLine="709"/>
        <w:jc w:val="both"/>
        <w:rPr>
          <w:rFonts w:eastAsia="Times New Roman"/>
          <w:szCs w:val="24"/>
        </w:rPr>
      </w:pPr>
    </w:p>
    <w:p w14:paraId="185DC15B" w14:textId="77777777" w:rsidR="004C69B5" w:rsidRDefault="004C69B5" w:rsidP="004C69B5">
      <w:pPr>
        <w:tabs>
          <w:tab w:val="left" w:pos="7371"/>
          <w:tab w:val="left" w:pos="8080"/>
        </w:tabs>
        <w:spacing w:after="0" w:line="276" w:lineRule="auto"/>
        <w:ind w:firstLine="709"/>
        <w:jc w:val="both"/>
        <w:rPr>
          <w:rFonts w:eastAsia="Times New Roman"/>
          <w:szCs w:val="24"/>
        </w:rPr>
      </w:pPr>
    </w:p>
    <w:p w14:paraId="5FCF6DEA" w14:textId="77777777" w:rsidR="004C69B5" w:rsidRDefault="004C69B5" w:rsidP="004C69B5">
      <w:pPr>
        <w:tabs>
          <w:tab w:val="left" w:pos="7371"/>
          <w:tab w:val="left" w:pos="8080"/>
        </w:tabs>
        <w:spacing w:after="0" w:line="276" w:lineRule="auto"/>
        <w:ind w:firstLine="709"/>
        <w:jc w:val="both"/>
        <w:rPr>
          <w:rFonts w:eastAsia="Times New Roman"/>
          <w:szCs w:val="24"/>
        </w:rPr>
      </w:pPr>
    </w:p>
    <w:p w14:paraId="33B88A24" w14:textId="77777777" w:rsidR="004C69B5" w:rsidRDefault="004C69B5" w:rsidP="004C69B5">
      <w:pPr>
        <w:tabs>
          <w:tab w:val="left" w:pos="7371"/>
          <w:tab w:val="left" w:pos="8080"/>
        </w:tabs>
        <w:spacing w:after="0" w:line="276" w:lineRule="auto"/>
        <w:ind w:firstLine="709"/>
        <w:jc w:val="both"/>
        <w:rPr>
          <w:rFonts w:eastAsia="Times New Roman"/>
          <w:szCs w:val="24"/>
        </w:rPr>
      </w:pPr>
    </w:p>
    <w:p w14:paraId="499862A4" w14:textId="220CE32B" w:rsidR="004C69B5" w:rsidRDefault="004C69B5" w:rsidP="004C69B5">
      <w:pPr>
        <w:tabs>
          <w:tab w:val="left" w:pos="7371"/>
          <w:tab w:val="left" w:pos="8080"/>
        </w:tabs>
        <w:spacing w:after="0" w:line="276" w:lineRule="auto"/>
        <w:ind w:firstLine="709"/>
        <w:jc w:val="both"/>
        <w:rPr>
          <w:rFonts w:eastAsia="Times New Roman"/>
          <w:szCs w:val="24"/>
        </w:rPr>
      </w:pPr>
    </w:p>
    <w:p w14:paraId="6373A7B5" w14:textId="66F5C8B5" w:rsidR="00E27833" w:rsidRDefault="00E27833" w:rsidP="004C69B5">
      <w:pPr>
        <w:tabs>
          <w:tab w:val="left" w:pos="7371"/>
          <w:tab w:val="left" w:pos="8080"/>
        </w:tabs>
        <w:spacing w:after="0" w:line="276" w:lineRule="auto"/>
        <w:ind w:firstLine="709"/>
        <w:jc w:val="both"/>
        <w:rPr>
          <w:rFonts w:eastAsia="Times New Roman"/>
          <w:szCs w:val="24"/>
        </w:rPr>
      </w:pPr>
    </w:p>
    <w:p w14:paraId="7E21AE8D" w14:textId="6D325F84" w:rsidR="00E27833" w:rsidRDefault="00E27833" w:rsidP="004C69B5">
      <w:pPr>
        <w:tabs>
          <w:tab w:val="left" w:pos="7371"/>
          <w:tab w:val="left" w:pos="8080"/>
        </w:tabs>
        <w:spacing w:after="0" w:line="276" w:lineRule="auto"/>
        <w:ind w:firstLine="709"/>
        <w:jc w:val="both"/>
        <w:rPr>
          <w:rFonts w:eastAsia="Times New Roman"/>
          <w:szCs w:val="24"/>
        </w:rPr>
      </w:pPr>
    </w:p>
    <w:p w14:paraId="40873461" w14:textId="1DF13698" w:rsidR="00E27833" w:rsidRDefault="00E27833" w:rsidP="004C69B5">
      <w:pPr>
        <w:tabs>
          <w:tab w:val="left" w:pos="7371"/>
          <w:tab w:val="left" w:pos="8080"/>
        </w:tabs>
        <w:spacing w:after="0" w:line="276" w:lineRule="auto"/>
        <w:ind w:firstLine="709"/>
        <w:jc w:val="both"/>
        <w:rPr>
          <w:rFonts w:eastAsia="Times New Roman"/>
          <w:szCs w:val="24"/>
        </w:rPr>
      </w:pPr>
    </w:p>
    <w:p w14:paraId="49C83864" w14:textId="21281FA2" w:rsidR="00E27833" w:rsidRDefault="00E27833" w:rsidP="004C69B5">
      <w:pPr>
        <w:tabs>
          <w:tab w:val="left" w:pos="7371"/>
          <w:tab w:val="left" w:pos="8080"/>
        </w:tabs>
        <w:spacing w:after="0" w:line="276" w:lineRule="auto"/>
        <w:ind w:firstLine="709"/>
        <w:jc w:val="both"/>
        <w:rPr>
          <w:rFonts w:eastAsia="Times New Roman"/>
          <w:szCs w:val="24"/>
        </w:rPr>
      </w:pPr>
    </w:p>
    <w:p w14:paraId="1B525262" w14:textId="402F4CD9" w:rsidR="00E27833" w:rsidRDefault="00E27833" w:rsidP="004C69B5">
      <w:pPr>
        <w:tabs>
          <w:tab w:val="left" w:pos="7371"/>
          <w:tab w:val="left" w:pos="8080"/>
        </w:tabs>
        <w:spacing w:after="0" w:line="276" w:lineRule="auto"/>
        <w:ind w:firstLine="709"/>
        <w:jc w:val="both"/>
        <w:rPr>
          <w:rFonts w:eastAsia="Times New Roman"/>
          <w:szCs w:val="24"/>
        </w:rPr>
      </w:pPr>
    </w:p>
    <w:p w14:paraId="71A3F31A" w14:textId="39B21738" w:rsidR="00E27833" w:rsidRDefault="00E27833" w:rsidP="004C69B5">
      <w:pPr>
        <w:tabs>
          <w:tab w:val="left" w:pos="7371"/>
          <w:tab w:val="left" w:pos="8080"/>
        </w:tabs>
        <w:spacing w:after="0" w:line="276" w:lineRule="auto"/>
        <w:ind w:firstLine="709"/>
        <w:jc w:val="both"/>
        <w:rPr>
          <w:rFonts w:eastAsia="Times New Roman"/>
          <w:szCs w:val="24"/>
        </w:rPr>
      </w:pPr>
    </w:p>
    <w:p w14:paraId="0031930B" w14:textId="08E2BC5B" w:rsidR="00E27833" w:rsidRDefault="00E27833" w:rsidP="004C69B5">
      <w:pPr>
        <w:tabs>
          <w:tab w:val="left" w:pos="7371"/>
          <w:tab w:val="left" w:pos="8080"/>
        </w:tabs>
        <w:spacing w:after="0" w:line="276" w:lineRule="auto"/>
        <w:ind w:firstLine="709"/>
        <w:jc w:val="both"/>
        <w:rPr>
          <w:rFonts w:eastAsia="Times New Roman"/>
          <w:szCs w:val="24"/>
        </w:rPr>
      </w:pPr>
    </w:p>
    <w:p w14:paraId="7D609ABD" w14:textId="7E1D4F44" w:rsidR="00E27833" w:rsidRDefault="00E27833" w:rsidP="004C69B5">
      <w:pPr>
        <w:tabs>
          <w:tab w:val="left" w:pos="7371"/>
          <w:tab w:val="left" w:pos="8080"/>
        </w:tabs>
        <w:spacing w:after="0" w:line="276" w:lineRule="auto"/>
        <w:ind w:firstLine="709"/>
        <w:jc w:val="both"/>
        <w:rPr>
          <w:rFonts w:eastAsia="Times New Roman"/>
          <w:szCs w:val="24"/>
        </w:rPr>
      </w:pPr>
    </w:p>
    <w:p w14:paraId="4576D61E" w14:textId="7B0124D2" w:rsidR="00E27833" w:rsidRDefault="00E27833" w:rsidP="004C69B5">
      <w:pPr>
        <w:tabs>
          <w:tab w:val="left" w:pos="7371"/>
          <w:tab w:val="left" w:pos="8080"/>
        </w:tabs>
        <w:spacing w:after="0" w:line="276" w:lineRule="auto"/>
        <w:ind w:firstLine="709"/>
        <w:jc w:val="both"/>
        <w:rPr>
          <w:rFonts w:eastAsia="Times New Roman"/>
          <w:szCs w:val="24"/>
        </w:rPr>
      </w:pPr>
    </w:p>
    <w:p w14:paraId="75EE8A04" w14:textId="5B31B3DD" w:rsidR="00E27833" w:rsidRDefault="00E27833" w:rsidP="004C69B5">
      <w:pPr>
        <w:tabs>
          <w:tab w:val="left" w:pos="7371"/>
          <w:tab w:val="left" w:pos="8080"/>
        </w:tabs>
        <w:spacing w:after="0" w:line="276" w:lineRule="auto"/>
        <w:ind w:firstLine="709"/>
        <w:jc w:val="both"/>
        <w:rPr>
          <w:rFonts w:eastAsia="Times New Roman"/>
          <w:szCs w:val="24"/>
        </w:rPr>
      </w:pPr>
    </w:p>
    <w:p w14:paraId="1CCDFB3B" w14:textId="252BC706" w:rsidR="00E27833" w:rsidRDefault="00E27833" w:rsidP="004C69B5">
      <w:pPr>
        <w:tabs>
          <w:tab w:val="left" w:pos="7371"/>
          <w:tab w:val="left" w:pos="8080"/>
        </w:tabs>
        <w:spacing w:after="0" w:line="276" w:lineRule="auto"/>
        <w:ind w:firstLine="709"/>
        <w:jc w:val="both"/>
        <w:rPr>
          <w:rFonts w:eastAsia="Times New Roman"/>
          <w:szCs w:val="24"/>
        </w:rPr>
      </w:pPr>
    </w:p>
    <w:p w14:paraId="1B7EFAB0" w14:textId="7163ECAE" w:rsidR="00E27833" w:rsidRDefault="00E27833" w:rsidP="004C69B5">
      <w:pPr>
        <w:tabs>
          <w:tab w:val="left" w:pos="7371"/>
          <w:tab w:val="left" w:pos="8080"/>
        </w:tabs>
        <w:spacing w:after="0" w:line="276" w:lineRule="auto"/>
        <w:ind w:firstLine="709"/>
        <w:jc w:val="both"/>
        <w:rPr>
          <w:rFonts w:eastAsia="Times New Roman"/>
          <w:szCs w:val="24"/>
        </w:rPr>
      </w:pPr>
    </w:p>
    <w:p w14:paraId="217BB8A3" w14:textId="22670E92" w:rsidR="00E27833" w:rsidRDefault="00E27833" w:rsidP="004C69B5">
      <w:pPr>
        <w:tabs>
          <w:tab w:val="left" w:pos="7371"/>
          <w:tab w:val="left" w:pos="8080"/>
        </w:tabs>
        <w:spacing w:after="0" w:line="276" w:lineRule="auto"/>
        <w:ind w:firstLine="709"/>
        <w:jc w:val="both"/>
        <w:rPr>
          <w:rFonts w:eastAsia="Times New Roman"/>
          <w:szCs w:val="24"/>
        </w:rPr>
      </w:pPr>
    </w:p>
    <w:p w14:paraId="66A6CA35" w14:textId="77777777" w:rsidR="00E27833" w:rsidRDefault="00E27833" w:rsidP="004C69B5">
      <w:pPr>
        <w:tabs>
          <w:tab w:val="left" w:pos="7371"/>
          <w:tab w:val="left" w:pos="8080"/>
        </w:tabs>
        <w:spacing w:after="0" w:line="276" w:lineRule="auto"/>
        <w:ind w:firstLine="709"/>
        <w:jc w:val="both"/>
        <w:rPr>
          <w:rFonts w:eastAsia="Times New Roman"/>
          <w:szCs w:val="24"/>
        </w:rPr>
      </w:pPr>
    </w:p>
    <w:p w14:paraId="760D0611" w14:textId="77777777" w:rsidR="004C69B5" w:rsidRDefault="004C69B5" w:rsidP="004C69B5">
      <w:pPr>
        <w:tabs>
          <w:tab w:val="left" w:pos="7371"/>
          <w:tab w:val="left" w:pos="8080"/>
        </w:tabs>
        <w:spacing w:after="0" w:line="276" w:lineRule="auto"/>
        <w:ind w:firstLine="709"/>
        <w:jc w:val="both"/>
        <w:rPr>
          <w:rFonts w:eastAsia="Times New Roman"/>
          <w:szCs w:val="24"/>
        </w:rPr>
      </w:pPr>
    </w:p>
    <w:p w14:paraId="6CAEA7DE" w14:textId="77777777" w:rsidR="004C69B5" w:rsidRDefault="004C69B5" w:rsidP="004C69B5">
      <w:pPr>
        <w:spacing w:after="0" w:line="276" w:lineRule="auto"/>
        <w:jc w:val="both"/>
        <w:rPr>
          <w:rFonts w:eastAsia="Times New Roman"/>
          <w:sz w:val="22"/>
        </w:rPr>
      </w:pPr>
    </w:p>
    <w:p w14:paraId="036AECDC" w14:textId="77777777" w:rsidR="004C69B5" w:rsidRPr="007270B6" w:rsidRDefault="004C69B5" w:rsidP="004C69B5">
      <w:pPr>
        <w:spacing w:after="0" w:line="276" w:lineRule="auto"/>
        <w:jc w:val="both"/>
        <w:rPr>
          <w:sz w:val="22"/>
        </w:rPr>
      </w:pPr>
      <w:r w:rsidRPr="007270B6">
        <w:rPr>
          <w:rFonts w:eastAsia="Times New Roman"/>
          <w:sz w:val="22"/>
        </w:rPr>
        <w:t xml:space="preserve">Eivilė Žemaitytė, tel. (8 5) 210 7175, el. paštas </w:t>
      </w:r>
      <w:proofErr w:type="spellStart"/>
      <w:r w:rsidRPr="007270B6">
        <w:rPr>
          <w:rFonts w:eastAsia="Times New Roman"/>
          <w:sz w:val="22"/>
        </w:rPr>
        <w:t>eivile.zemaityte@vtaki.l</w:t>
      </w:r>
      <w:proofErr w:type="spellEnd"/>
    </w:p>
    <w:p w14:paraId="08CAF0D0" w14:textId="77777777" w:rsidR="00132B91" w:rsidRDefault="00132B91"/>
    <w:sectPr w:rsidR="00132B91">
      <w:headerReference w:type="default" r:id="rId6"/>
      <w:footerReference w:type="default" r:id="rId7"/>
      <w:headerReference w:type="first" r:id="rId8"/>
      <w:footerReference w:type="first" r:id="rId9"/>
      <w:pgSz w:w="11907" w:h="16840"/>
      <w:pgMar w:top="1702" w:right="624" w:bottom="1134"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6066" w14:textId="77777777" w:rsidR="007876AC" w:rsidRDefault="007876AC">
      <w:pPr>
        <w:spacing w:after="0" w:line="240" w:lineRule="auto"/>
      </w:pPr>
      <w:r>
        <w:separator/>
      </w:r>
    </w:p>
  </w:endnote>
  <w:endnote w:type="continuationSeparator" w:id="0">
    <w:p w14:paraId="6242FC12" w14:textId="77777777" w:rsidR="007876AC" w:rsidRDefault="0078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5166E4" w14:paraId="03863DA4" w14:textId="77777777">
      <w:trPr>
        <w:trHeight w:val="260"/>
      </w:trPr>
      <w:tc>
        <w:tcPr>
          <w:tcW w:w="2450" w:type="dxa"/>
          <w:shd w:val="clear" w:color="auto" w:fill="auto"/>
          <w:tcMar>
            <w:top w:w="0" w:type="dxa"/>
            <w:left w:w="108" w:type="dxa"/>
            <w:bottom w:w="0" w:type="dxa"/>
            <w:right w:w="108" w:type="dxa"/>
          </w:tcMar>
        </w:tcPr>
        <w:p w14:paraId="33D63B28" w14:textId="77777777" w:rsidR="005166E4" w:rsidRDefault="005166E4">
          <w:pPr>
            <w:pStyle w:val="Porat"/>
            <w:rPr>
              <w:sz w:val="16"/>
            </w:rPr>
          </w:pPr>
        </w:p>
      </w:tc>
      <w:tc>
        <w:tcPr>
          <w:tcW w:w="2247" w:type="dxa"/>
          <w:shd w:val="clear" w:color="auto" w:fill="auto"/>
          <w:tcMar>
            <w:top w:w="0" w:type="dxa"/>
            <w:left w:w="108" w:type="dxa"/>
            <w:bottom w:w="0" w:type="dxa"/>
            <w:right w:w="108" w:type="dxa"/>
          </w:tcMar>
        </w:tcPr>
        <w:p w14:paraId="3CA82BB9" w14:textId="77777777" w:rsidR="005166E4" w:rsidRDefault="005166E4">
          <w:pPr>
            <w:pStyle w:val="Porat"/>
            <w:rPr>
              <w:sz w:val="16"/>
            </w:rPr>
          </w:pPr>
        </w:p>
      </w:tc>
      <w:tc>
        <w:tcPr>
          <w:tcW w:w="3222" w:type="dxa"/>
          <w:shd w:val="clear" w:color="auto" w:fill="auto"/>
          <w:tcMar>
            <w:top w:w="0" w:type="dxa"/>
            <w:left w:w="108" w:type="dxa"/>
            <w:bottom w:w="0" w:type="dxa"/>
            <w:right w:w="108" w:type="dxa"/>
          </w:tcMar>
        </w:tcPr>
        <w:p w14:paraId="1AA228E8" w14:textId="77777777" w:rsidR="005166E4" w:rsidRDefault="005166E4">
          <w:pPr>
            <w:pStyle w:val="Porat"/>
            <w:rPr>
              <w:sz w:val="16"/>
            </w:rPr>
          </w:pPr>
        </w:p>
      </w:tc>
      <w:tc>
        <w:tcPr>
          <w:tcW w:w="1663" w:type="dxa"/>
          <w:shd w:val="clear" w:color="auto" w:fill="auto"/>
          <w:tcMar>
            <w:top w:w="0" w:type="dxa"/>
            <w:left w:w="108" w:type="dxa"/>
            <w:bottom w:w="0" w:type="dxa"/>
            <w:right w:w="108" w:type="dxa"/>
          </w:tcMar>
        </w:tcPr>
        <w:p w14:paraId="5A0817CF" w14:textId="77777777" w:rsidR="005166E4" w:rsidRDefault="005166E4">
          <w:pPr>
            <w:pStyle w:val="Porat"/>
            <w:jc w:val="center"/>
            <w:rPr>
              <w:sz w:val="16"/>
            </w:rPr>
          </w:pPr>
        </w:p>
      </w:tc>
    </w:tr>
  </w:tbl>
  <w:p w14:paraId="4FF75D19" w14:textId="77777777" w:rsidR="005166E4" w:rsidRDefault="005166E4">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4706" w14:textId="77777777" w:rsidR="005166E4" w:rsidRDefault="005166E4"/>
  <w:tbl>
    <w:tblPr>
      <w:tblW w:w="11403" w:type="dxa"/>
      <w:tblCellMar>
        <w:left w:w="10" w:type="dxa"/>
        <w:right w:w="10" w:type="dxa"/>
      </w:tblCellMar>
      <w:tblLook w:val="0000" w:firstRow="0" w:lastRow="0" w:firstColumn="0" w:lastColumn="0" w:noHBand="0" w:noVBand="0"/>
    </w:tblPr>
    <w:tblGrid>
      <w:gridCol w:w="9708"/>
      <w:gridCol w:w="1695"/>
    </w:tblGrid>
    <w:tr w:rsidR="005166E4" w14:paraId="2A0E7E04" w14:textId="77777777">
      <w:trPr>
        <w:cantSplit/>
        <w:trHeight w:val="260"/>
      </w:trPr>
      <w:tc>
        <w:tcPr>
          <w:tcW w:w="9708" w:type="dxa"/>
          <w:tcBorders>
            <w:top w:val="single" w:sz="4" w:space="0" w:color="000000"/>
          </w:tcBorders>
          <w:shd w:val="clear" w:color="auto" w:fill="auto"/>
          <w:tcMar>
            <w:top w:w="0" w:type="dxa"/>
            <w:left w:w="108" w:type="dxa"/>
            <w:bottom w:w="0" w:type="dxa"/>
            <w:right w:w="108" w:type="dxa"/>
          </w:tcMar>
        </w:tcPr>
        <w:p w14:paraId="4C7774D7" w14:textId="77777777" w:rsidR="005166E4" w:rsidRPr="000C6775" w:rsidRDefault="005166E4">
          <w:pPr>
            <w:spacing w:after="0" w:line="240" w:lineRule="auto"/>
            <w:ind w:left="-357"/>
            <w:jc w:val="center"/>
          </w:pPr>
          <w:r>
            <w:rPr>
              <w:sz w:val="18"/>
            </w:rPr>
            <w:t xml:space="preserve">Biudžetinė įstaiga, Plačioji g. 10, LT-01308  Vilnius, tel. (8-5) 210 7176, faks. </w:t>
          </w:r>
          <w:r>
            <w:rPr>
              <w:sz w:val="18"/>
              <w:szCs w:val="18"/>
            </w:rPr>
            <w:t>(8-5) 265 7960,</w:t>
          </w:r>
          <w:r>
            <w:rPr>
              <w:sz w:val="18"/>
            </w:rPr>
            <w:t xml:space="preserve"> el. paštas: </w:t>
          </w:r>
          <w:hyperlink r:id="rId1" w:history="1">
            <w:r w:rsidRPr="000C6775">
              <w:rPr>
                <w:rStyle w:val="Hipersaitas"/>
                <w:color w:val="auto"/>
                <w:sz w:val="18"/>
              </w:rPr>
              <w:t>vtaki@vtaki.lt</w:t>
            </w:r>
          </w:hyperlink>
        </w:p>
        <w:p w14:paraId="1DCA36C5" w14:textId="77777777" w:rsidR="005166E4" w:rsidRDefault="005166E4">
          <w:pPr>
            <w:spacing w:after="0" w:line="240" w:lineRule="auto"/>
            <w:ind w:left="-357"/>
            <w:jc w:val="center"/>
          </w:pPr>
          <w:proofErr w:type="spellStart"/>
          <w:r>
            <w:rPr>
              <w:sz w:val="18"/>
              <w:lang w:val="en-US"/>
            </w:rPr>
            <w:t>Duomenys</w:t>
          </w:r>
          <w:proofErr w:type="spellEnd"/>
          <w:r>
            <w:rPr>
              <w:sz w:val="18"/>
              <w:lang w:val="en-US"/>
            </w:rPr>
            <w:t xml:space="preserve"> </w:t>
          </w:r>
          <w:proofErr w:type="spellStart"/>
          <w:r>
            <w:rPr>
              <w:sz w:val="18"/>
              <w:lang w:val="en-US"/>
            </w:rPr>
            <w:t>kaupiami</w:t>
          </w:r>
          <w:proofErr w:type="spellEnd"/>
          <w:r>
            <w:rPr>
              <w:sz w:val="18"/>
              <w:lang w:val="en-US"/>
            </w:rPr>
            <w:t xml:space="preserve"> ir </w:t>
          </w:r>
          <w:proofErr w:type="spellStart"/>
          <w:r>
            <w:rPr>
              <w:sz w:val="18"/>
              <w:lang w:val="en-US"/>
            </w:rPr>
            <w:t>saugomi</w:t>
          </w:r>
          <w:proofErr w:type="spellEnd"/>
          <w:r>
            <w:rPr>
              <w:sz w:val="18"/>
              <w:lang w:val="en-US"/>
            </w:rPr>
            <w:t xml:space="preserve"> </w:t>
          </w:r>
          <w:proofErr w:type="spellStart"/>
          <w:r>
            <w:rPr>
              <w:sz w:val="18"/>
              <w:lang w:val="en-US"/>
            </w:rPr>
            <w:t>Juridinių</w:t>
          </w:r>
          <w:proofErr w:type="spellEnd"/>
          <w:r>
            <w:rPr>
              <w:sz w:val="18"/>
              <w:lang w:val="en-US"/>
            </w:rPr>
            <w:t xml:space="preserve"> </w:t>
          </w:r>
          <w:proofErr w:type="spellStart"/>
          <w:r>
            <w:rPr>
              <w:sz w:val="18"/>
              <w:lang w:val="en-US"/>
            </w:rPr>
            <w:t>asmenų</w:t>
          </w:r>
          <w:proofErr w:type="spellEnd"/>
          <w:r>
            <w:rPr>
              <w:sz w:val="18"/>
              <w:lang w:val="en-US"/>
            </w:rPr>
            <w:t xml:space="preserve"> </w:t>
          </w:r>
          <w:proofErr w:type="spellStart"/>
          <w:r>
            <w:rPr>
              <w:sz w:val="18"/>
              <w:lang w:val="en-US"/>
            </w:rPr>
            <w:t>registre</w:t>
          </w:r>
          <w:proofErr w:type="spellEnd"/>
          <w:r>
            <w:rPr>
              <w:sz w:val="18"/>
              <w:lang w:val="en-US"/>
            </w:rPr>
            <w:t xml:space="preserve">, </w:t>
          </w:r>
          <w:proofErr w:type="spellStart"/>
          <w:r>
            <w:rPr>
              <w:sz w:val="18"/>
              <w:lang w:val="en-US"/>
            </w:rPr>
            <w:t>kodas</w:t>
          </w:r>
          <w:proofErr w:type="spellEnd"/>
          <w:r>
            <w:rPr>
              <w:sz w:val="18"/>
              <w:lang w:val="en-US"/>
            </w:rPr>
            <w:t xml:space="preserve"> </w:t>
          </w:r>
          <w:r>
            <w:rPr>
              <w:sz w:val="18"/>
            </w:rPr>
            <w:t>188755327</w:t>
          </w:r>
        </w:p>
        <w:p w14:paraId="71A3F529" w14:textId="77777777" w:rsidR="005166E4" w:rsidRDefault="005166E4">
          <w:pPr>
            <w:pStyle w:val="Porat"/>
            <w:tabs>
              <w:tab w:val="left" w:pos="1812"/>
              <w:tab w:val="left" w:pos="2592"/>
              <w:tab w:val="left" w:pos="3888"/>
              <w:tab w:val="left" w:pos="5184"/>
              <w:tab w:val="left" w:pos="6480"/>
            </w:tabs>
            <w:rPr>
              <w:sz w:val="18"/>
            </w:rPr>
          </w:pPr>
        </w:p>
      </w:tc>
      <w:tc>
        <w:tcPr>
          <w:tcW w:w="1695" w:type="dxa"/>
          <w:tcBorders>
            <w:top w:val="single" w:sz="4" w:space="0" w:color="000000"/>
          </w:tcBorders>
          <w:shd w:val="clear" w:color="auto" w:fill="auto"/>
          <w:tcMar>
            <w:top w:w="0" w:type="dxa"/>
            <w:left w:w="108" w:type="dxa"/>
            <w:bottom w:w="0" w:type="dxa"/>
            <w:right w:w="108" w:type="dxa"/>
          </w:tcMar>
        </w:tcPr>
        <w:p w14:paraId="3A011EAE" w14:textId="77777777" w:rsidR="005166E4" w:rsidRDefault="005166E4">
          <w:pPr>
            <w:pStyle w:val="Porat"/>
            <w:ind w:left="-1126" w:hanging="240"/>
            <w:rPr>
              <w:sz w:val="18"/>
            </w:rPr>
          </w:pPr>
        </w:p>
        <w:p w14:paraId="5802CB8E" w14:textId="77777777" w:rsidR="005166E4" w:rsidRDefault="005166E4">
          <w:pPr>
            <w:pStyle w:val="Porat"/>
            <w:ind w:left="-1126" w:hanging="240"/>
            <w:rPr>
              <w:sz w:val="18"/>
            </w:rPr>
          </w:pPr>
        </w:p>
        <w:p w14:paraId="7E47F853" w14:textId="77777777" w:rsidR="005166E4" w:rsidRDefault="005166E4">
          <w:pPr>
            <w:pStyle w:val="Porat"/>
            <w:ind w:left="-1126" w:hanging="240"/>
            <w:rPr>
              <w:sz w:val="18"/>
            </w:rPr>
          </w:pPr>
        </w:p>
      </w:tc>
    </w:tr>
  </w:tbl>
  <w:p w14:paraId="09052EA8" w14:textId="77777777" w:rsidR="005166E4" w:rsidRDefault="005166E4">
    <w:pPr>
      <w:pStyle w:val="Porat"/>
      <w:rPr>
        <w:sz w:val="18"/>
        <w:lang w:val="fr-FR"/>
      </w:rPr>
    </w:pPr>
    <w:r>
      <w:rPr>
        <w:sz w:val="18"/>
        <w:lang w:val="fr-FR"/>
      </w:rPr>
      <w:tab/>
    </w:r>
    <w:r>
      <w:rPr>
        <w:sz w:val="18"/>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871C" w14:textId="77777777" w:rsidR="007876AC" w:rsidRDefault="007876AC">
      <w:pPr>
        <w:spacing w:after="0" w:line="240" w:lineRule="auto"/>
      </w:pPr>
      <w:r>
        <w:separator/>
      </w:r>
    </w:p>
  </w:footnote>
  <w:footnote w:type="continuationSeparator" w:id="0">
    <w:p w14:paraId="53310151" w14:textId="77777777" w:rsidR="007876AC" w:rsidRDefault="0078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7F31" w14:textId="77777777" w:rsidR="005166E4" w:rsidRDefault="005166E4">
    <w:pPr>
      <w:pStyle w:val="Antrats"/>
    </w:pPr>
    <w:r>
      <w:rPr>
        <w:noProof/>
        <w:lang w:val="en-US"/>
      </w:rPr>
      <mc:AlternateContent>
        <mc:Choice Requires="wps">
          <w:drawing>
            <wp:anchor distT="0" distB="0" distL="114300" distR="114300" simplePos="0" relativeHeight="251659264" behindDoc="0" locked="0" layoutInCell="1" allowOverlap="1" wp14:anchorId="51212B49" wp14:editId="00867547">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2872547" w14:textId="77777777" w:rsidR="005166E4" w:rsidRDefault="005166E4">
                          <w:pPr>
                            <w:pStyle w:val="Antrats"/>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3</w:t>
                          </w:r>
                          <w:r>
                            <w:rPr>
                              <w:rStyle w:val="Puslapionumeris"/>
                            </w:rPr>
                            <w:fldChar w:fldCharType="end"/>
                          </w:r>
                        </w:p>
                      </w:txbxContent>
                    </wps:txbx>
                    <wps:bodyPr vert="horz" wrap="none" lIns="0" tIns="0" rIns="0" bIns="0" anchor="t" anchorCtr="0" compatLnSpc="0">
                      <a:spAutoFit/>
                    </wps:bodyPr>
                  </wps:wsp>
                </a:graphicData>
              </a:graphic>
            </wp:anchor>
          </w:drawing>
        </mc:Choice>
        <mc:Fallback>
          <w:pict>
            <v:shapetype w14:anchorId="51212B49"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72872547" w14:textId="77777777" w:rsidR="005166E4" w:rsidRDefault="005166E4">
                    <w:pPr>
                      <w:pStyle w:val="Antrats"/>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3</w:t>
                    </w:r>
                    <w:r>
                      <w:rPr>
                        <w:rStyle w:val="Puslapionumeris"/>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2" w:type="dxa"/>
      <w:tblCellMar>
        <w:left w:w="10" w:type="dxa"/>
        <w:right w:w="10" w:type="dxa"/>
      </w:tblCellMar>
      <w:tblLook w:val="0000" w:firstRow="0" w:lastRow="0" w:firstColumn="0" w:lastColumn="0" w:noHBand="0" w:noVBand="0"/>
    </w:tblPr>
    <w:tblGrid>
      <w:gridCol w:w="9582"/>
    </w:tblGrid>
    <w:tr w:rsidR="005166E4" w14:paraId="76AC1892" w14:textId="77777777">
      <w:tc>
        <w:tcPr>
          <w:tcW w:w="9582" w:type="dxa"/>
          <w:shd w:val="clear" w:color="auto" w:fill="auto"/>
          <w:tcMar>
            <w:top w:w="0" w:type="dxa"/>
            <w:left w:w="108" w:type="dxa"/>
            <w:bottom w:w="0" w:type="dxa"/>
            <w:right w:w="108" w:type="dxa"/>
          </w:tcMar>
        </w:tcPr>
        <w:p w14:paraId="31B13788" w14:textId="77777777" w:rsidR="005166E4" w:rsidRDefault="005166E4">
          <w:pPr>
            <w:pStyle w:val="Antrats"/>
            <w:tabs>
              <w:tab w:val="center" w:pos="4900"/>
            </w:tabs>
            <w:jc w:val="right"/>
            <w:rPr>
              <w:rFonts w:ascii="TimesLT" w:hAnsi="TimesLT"/>
            </w:rPr>
          </w:pPr>
          <w:r>
            <w:rPr>
              <w:rFonts w:ascii="TimesLT" w:hAnsi="TimesLT"/>
            </w:rPr>
            <w:t>Originalas siunčiamas nebus</w:t>
          </w:r>
        </w:p>
      </w:tc>
    </w:tr>
    <w:bookmarkStart w:id="0" w:name="_MON_1064649012"/>
    <w:bookmarkEnd w:id="0"/>
    <w:bookmarkStart w:id="1" w:name="_MON_1064649033"/>
    <w:bookmarkEnd w:id="1"/>
    <w:tr w:rsidR="005166E4" w14:paraId="462CDAC9" w14:textId="77777777">
      <w:tc>
        <w:tcPr>
          <w:tcW w:w="9582" w:type="dxa"/>
          <w:shd w:val="clear" w:color="auto" w:fill="auto"/>
          <w:tcMar>
            <w:top w:w="0" w:type="dxa"/>
            <w:left w:w="108" w:type="dxa"/>
            <w:bottom w:w="0" w:type="dxa"/>
            <w:right w:w="108" w:type="dxa"/>
          </w:tcMar>
        </w:tcPr>
        <w:p w14:paraId="433793C6" w14:textId="77777777" w:rsidR="005166E4" w:rsidRDefault="005166E4">
          <w:pPr>
            <w:pStyle w:val="Antrats"/>
            <w:tabs>
              <w:tab w:val="center" w:pos="4900"/>
            </w:tabs>
            <w:jc w:val="center"/>
          </w:pPr>
          <w:r>
            <w:rPr>
              <w:rFonts w:ascii="TimesLT" w:hAnsi="TimesLT"/>
            </w:rPr>
            <w:object w:dxaOrig="825" w:dyaOrig="795" w14:anchorId="29995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39.75pt;visibility:visible">
                <v:imagedata r:id="rId1" o:title=""/>
              </v:shape>
              <o:OLEObject Type="Embed" ProgID="Word.Picture.8" ShapeID="Picture 1" DrawAspect="Content" ObjectID="_1713617051" r:id="rId2"/>
            </w:object>
          </w:r>
        </w:p>
      </w:tc>
    </w:tr>
    <w:tr w:rsidR="005166E4" w14:paraId="3A9AF5F9" w14:textId="77777777">
      <w:tc>
        <w:tcPr>
          <w:tcW w:w="9582" w:type="dxa"/>
          <w:shd w:val="clear" w:color="auto" w:fill="auto"/>
          <w:tcMar>
            <w:top w:w="0" w:type="dxa"/>
            <w:left w:w="108" w:type="dxa"/>
            <w:bottom w:w="0" w:type="dxa"/>
            <w:right w:w="108" w:type="dxa"/>
          </w:tcMar>
        </w:tcPr>
        <w:p w14:paraId="41D23247" w14:textId="77777777" w:rsidR="005166E4" w:rsidRDefault="005166E4">
          <w:pPr>
            <w:pStyle w:val="Antrats"/>
            <w:jc w:val="center"/>
            <w:rPr>
              <w:b/>
            </w:rPr>
          </w:pPr>
          <w:r>
            <w:rPr>
              <w:b/>
            </w:rPr>
            <w:t>LIETUVOS RESPUBLIKOS</w:t>
          </w:r>
        </w:p>
        <w:p w14:paraId="37DF9ECB" w14:textId="77777777" w:rsidR="005166E4" w:rsidRDefault="005166E4">
          <w:pPr>
            <w:pStyle w:val="Antrats"/>
            <w:jc w:val="center"/>
            <w:rPr>
              <w:b/>
              <w:bCs/>
            </w:rPr>
          </w:pPr>
          <w:r>
            <w:rPr>
              <w:b/>
              <w:bCs/>
            </w:rPr>
            <w:t xml:space="preserve">VAIKO TEISIŲ APSAUGOS KONTROLIERIAUS ĮSTAIGA </w:t>
          </w:r>
        </w:p>
        <w:p w14:paraId="18DB92C9" w14:textId="77777777" w:rsidR="005166E4" w:rsidRDefault="005166E4">
          <w:pPr>
            <w:pStyle w:val="Antrats"/>
            <w:jc w:val="center"/>
          </w:pPr>
        </w:p>
      </w:tc>
    </w:tr>
  </w:tbl>
  <w:p w14:paraId="65DB19D6" w14:textId="77777777" w:rsidR="005166E4" w:rsidRDefault="005166E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B5"/>
    <w:rsid w:val="00132B91"/>
    <w:rsid w:val="002A7A7B"/>
    <w:rsid w:val="004B65D8"/>
    <w:rsid w:val="004C69B5"/>
    <w:rsid w:val="005166E4"/>
    <w:rsid w:val="0056299C"/>
    <w:rsid w:val="005B4E26"/>
    <w:rsid w:val="00650E48"/>
    <w:rsid w:val="007876AC"/>
    <w:rsid w:val="00A05B64"/>
    <w:rsid w:val="00E278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939F"/>
  <w15:docId w15:val="{11252289-A2C7-4147-8B3A-44F21D09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4C69B5"/>
    <w:pPr>
      <w:suppressAutoHyphens/>
      <w:autoSpaceDN w:val="0"/>
      <w:spacing w:line="244" w:lineRule="auto"/>
      <w:textAlignment w:val="baseline"/>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4C69B5"/>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4C69B5"/>
    <w:rPr>
      <w:rFonts w:ascii="Times New Roman" w:eastAsia="Calibri" w:hAnsi="Times New Roman" w:cs="Times New Roman"/>
      <w:sz w:val="24"/>
    </w:rPr>
  </w:style>
  <w:style w:type="paragraph" w:styleId="Porat">
    <w:name w:val="footer"/>
    <w:basedOn w:val="prastasis"/>
    <w:link w:val="PoratDiagrama"/>
    <w:rsid w:val="004C69B5"/>
    <w:pPr>
      <w:tabs>
        <w:tab w:val="center" w:pos="4819"/>
        <w:tab w:val="right" w:pos="9638"/>
      </w:tabs>
      <w:spacing w:after="0" w:line="240" w:lineRule="auto"/>
    </w:pPr>
  </w:style>
  <w:style w:type="character" w:customStyle="1" w:styleId="PoratDiagrama">
    <w:name w:val="Poraštė Diagrama"/>
    <w:basedOn w:val="Numatytasispastraiposriftas"/>
    <w:link w:val="Porat"/>
    <w:rsid w:val="004C69B5"/>
    <w:rPr>
      <w:rFonts w:ascii="Times New Roman" w:eastAsia="Calibri" w:hAnsi="Times New Roman" w:cs="Times New Roman"/>
      <w:sz w:val="24"/>
    </w:rPr>
  </w:style>
  <w:style w:type="character" w:styleId="Puslapionumeris">
    <w:name w:val="page number"/>
    <w:basedOn w:val="Numatytasispastraiposriftas"/>
    <w:rsid w:val="004C69B5"/>
  </w:style>
  <w:style w:type="character" w:styleId="Hipersaitas">
    <w:name w:val="Hyperlink"/>
    <w:basedOn w:val="Numatytasispastraiposriftas"/>
    <w:rsid w:val="004C6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7917">
      <w:bodyDiv w:val="1"/>
      <w:marLeft w:val="0"/>
      <w:marRight w:val="0"/>
      <w:marTop w:val="0"/>
      <w:marBottom w:val="0"/>
      <w:divBdr>
        <w:top w:val="none" w:sz="0" w:space="0" w:color="auto"/>
        <w:left w:val="none" w:sz="0" w:space="0" w:color="auto"/>
        <w:bottom w:val="none" w:sz="0" w:space="0" w:color="auto"/>
        <w:right w:val="none" w:sz="0" w:space="0" w:color="auto"/>
      </w:divBdr>
    </w:div>
    <w:div w:id="695934337">
      <w:bodyDiv w:val="1"/>
      <w:marLeft w:val="0"/>
      <w:marRight w:val="0"/>
      <w:marTop w:val="0"/>
      <w:marBottom w:val="0"/>
      <w:divBdr>
        <w:top w:val="none" w:sz="0" w:space="0" w:color="auto"/>
        <w:left w:val="none" w:sz="0" w:space="0" w:color="auto"/>
        <w:bottom w:val="none" w:sz="0" w:space="0" w:color="auto"/>
        <w:right w:val="none" w:sz="0" w:space="0" w:color="auto"/>
      </w:divBdr>
    </w:div>
    <w:div w:id="726301557">
      <w:bodyDiv w:val="1"/>
      <w:marLeft w:val="0"/>
      <w:marRight w:val="0"/>
      <w:marTop w:val="0"/>
      <w:marBottom w:val="0"/>
      <w:divBdr>
        <w:top w:val="none" w:sz="0" w:space="0" w:color="auto"/>
        <w:left w:val="none" w:sz="0" w:space="0" w:color="auto"/>
        <w:bottom w:val="none" w:sz="0" w:space="0" w:color="auto"/>
        <w:right w:val="none" w:sz="0" w:space="0" w:color="auto"/>
      </w:divBdr>
    </w:div>
    <w:div w:id="1106117924">
      <w:bodyDiv w:val="1"/>
      <w:marLeft w:val="0"/>
      <w:marRight w:val="0"/>
      <w:marTop w:val="0"/>
      <w:marBottom w:val="0"/>
      <w:divBdr>
        <w:top w:val="none" w:sz="0" w:space="0" w:color="auto"/>
        <w:left w:val="none" w:sz="0" w:space="0" w:color="auto"/>
        <w:bottom w:val="none" w:sz="0" w:space="0" w:color="auto"/>
        <w:right w:val="none" w:sz="0" w:space="0" w:color="auto"/>
      </w:divBdr>
    </w:div>
    <w:div w:id="1212617052">
      <w:bodyDiv w:val="1"/>
      <w:marLeft w:val="0"/>
      <w:marRight w:val="0"/>
      <w:marTop w:val="0"/>
      <w:marBottom w:val="0"/>
      <w:divBdr>
        <w:top w:val="none" w:sz="0" w:space="0" w:color="auto"/>
        <w:left w:val="none" w:sz="0" w:space="0" w:color="auto"/>
        <w:bottom w:val="none" w:sz="0" w:space="0" w:color="auto"/>
        <w:right w:val="none" w:sz="0" w:space="0" w:color="auto"/>
      </w:divBdr>
      <w:divsChild>
        <w:div w:id="1842118189">
          <w:marLeft w:val="0"/>
          <w:marRight w:val="0"/>
          <w:marTop w:val="0"/>
          <w:marBottom w:val="0"/>
          <w:divBdr>
            <w:top w:val="none" w:sz="0" w:space="0" w:color="auto"/>
            <w:left w:val="none" w:sz="0" w:space="0" w:color="auto"/>
            <w:bottom w:val="none" w:sz="0" w:space="0" w:color="auto"/>
            <w:right w:val="none" w:sz="0" w:space="0" w:color="auto"/>
          </w:divBdr>
        </w:div>
        <w:div w:id="1017390782">
          <w:marLeft w:val="0"/>
          <w:marRight w:val="0"/>
          <w:marTop w:val="0"/>
          <w:marBottom w:val="0"/>
          <w:divBdr>
            <w:top w:val="none" w:sz="0" w:space="0" w:color="auto"/>
            <w:left w:val="none" w:sz="0" w:space="0" w:color="auto"/>
            <w:bottom w:val="none" w:sz="0" w:space="0" w:color="auto"/>
            <w:right w:val="none" w:sz="0" w:space="0" w:color="auto"/>
          </w:divBdr>
        </w:div>
      </w:divsChild>
    </w:div>
    <w:div w:id="1716156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2631</Words>
  <Characters>1501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Eivile Zemaityte</dc:creator>
  <cp:keywords/>
  <dc:description/>
  <cp:lastModifiedBy>Eivile Zemaityte</cp:lastModifiedBy>
  <cp:revision>2</cp:revision>
  <cp:lastPrinted>2022-05-03T13:13:00Z</cp:lastPrinted>
  <dcterms:created xsi:type="dcterms:W3CDTF">2022-05-02T11:16:00Z</dcterms:created>
  <dcterms:modified xsi:type="dcterms:W3CDTF">2022-05-03T13:17:00Z</dcterms:modified>
</cp:coreProperties>
</file>