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4"/>
        <w:gridCol w:w="709"/>
        <w:gridCol w:w="4394"/>
      </w:tblGrid>
      <w:tr w:rsidR="006D13BC" w:rsidRPr="006D13BC" w14:paraId="27B30E4E" w14:textId="77777777" w:rsidTr="00FE36C8">
        <w:trPr>
          <w:cantSplit/>
        </w:trPr>
        <w:tc>
          <w:tcPr>
            <w:tcW w:w="4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7976" w14:textId="539EB184" w:rsidR="006D13BC" w:rsidRDefault="002869D0" w:rsidP="006D13B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bookmarkStart w:id="0" w:name="_Hlk535489046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Lietuvos Respublikos Seimo</w:t>
            </w:r>
          </w:p>
          <w:p w14:paraId="0A0CFE15" w14:textId="6A31F8AF" w:rsidR="002869D0" w:rsidRDefault="002869D0" w:rsidP="006D13B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Teisės ir teisėtvarkos komitetui</w:t>
            </w:r>
          </w:p>
          <w:p w14:paraId="1A1E3AED" w14:textId="17B6F72F" w:rsidR="002869D0" w:rsidRPr="006D13BC" w:rsidRDefault="002869D0" w:rsidP="002869D0">
            <w:pPr>
              <w:tabs>
                <w:tab w:val="left" w:pos="4820"/>
              </w:tabs>
              <w:spacing w:after="0" w:line="48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El. paštas priim@lrs.lt</w:t>
            </w:r>
          </w:p>
          <w:p w14:paraId="5F1C5EAF" w14:textId="77777777" w:rsidR="006D13BC" w:rsidRPr="006D13BC" w:rsidRDefault="006D13BC" w:rsidP="006D13B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4FF7" w14:textId="77777777" w:rsidR="006D13BC" w:rsidRPr="006D13BC" w:rsidRDefault="006D13BC" w:rsidP="006D13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14:paraId="092DA242" w14:textId="77777777" w:rsidR="006D13BC" w:rsidRPr="006D13BC" w:rsidRDefault="006D13BC" w:rsidP="006D13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D13B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Į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6431" w14:textId="0F56510F" w:rsidR="006D13BC" w:rsidRPr="006D13BC" w:rsidRDefault="006D13BC" w:rsidP="006D13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noProof w:val="0"/>
                <w:sz w:val="24"/>
              </w:rPr>
            </w:pPr>
            <w:r w:rsidRPr="006D13B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2020-03-</w:t>
            </w:r>
            <w:r w:rsidR="00DA119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10</w:t>
            </w:r>
            <w:bookmarkStart w:id="1" w:name="_GoBack"/>
            <w:bookmarkEnd w:id="1"/>
            <w:r w:rsidRPr="006D13B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 Nr. (1.1</w:t>
            </w:r>
            <w:r w:rsidR="002869D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8</w:t>
            </w:r>
            <w:r w:rsidRPr="006D13BC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-2020-</w:t>
            </w:r>
            <w:r w:rsidR="002869D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38</w:t>
            </w:r>
            <w:r w:rsidRPr="006D13BC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)2-</w:t>
            </w:r>
          </w:p>
          <w:p w14:paraId="0E2E77B5" w14:textId="7249F17B" w:rsidR="006D13BC" w:rsidRPr="006D13BC" w:rsidRDefault="006D13BC" w:rsidP="006D13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noProof w:val="0"/>
                <w:sz w:val="24"/>
              </w:rPr>
            </w:pPr>
            <w:r w:rsidRPr="006D13BC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2020-02-</w:t>
            </w:r>
            <w:r w:rsidR="002869D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17</w:t>
            </w:r>
            <w:r w:rsidRPr="006D13BC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 Nr. </w:t>
            </w:r>
            <w:r w:rsidR="002869D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S-2020-801</w:t>
            </w:r>
          </w:p>
        </w:tc>
      </w:tr>
    </w:tbl>
    <w:p w14:paraId="1EFA5C49" w14:textId="77777777" w:rsidR="003C4468" w:rsidRDefault="003C4468" w:rsidP="006D13B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</w:pPr>
    </w:p>
    <w:p w14:paraId="1B389EFB" w14:textId="2EE4EA39" w:rsidR="006D13BC" w:rsidRPr="006D13BC" w:rsidRDefault="006D13BC" w:rsidP="006D13B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noProof w:val="0"/>
          <w:spacing w:val="15"/>
          <w:sz w:val="24"/>
          <w:szCs w:val="24"/>
        </w:rPr>
      </w:pPr>
      <w:r w:rsidRPr="006D13BC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 xml:space="preserve">DĖL </w:t>
      </w:r>
      <w:r w:rsidR="002869D0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 xml:space="preserve">Pasiūlymų </w:t>
      </w:r>
      <w:r w:rsidRPr="006D13BC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>įstatymų pakeitimo projekt</w:t>
      </w:r>
      <w:r w:rsidR="002869D0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>ui Nr.xiiip-4073</w:t>
      </w:r>
      <w:r w:rsidRPr="006D13BC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 xml:space="preserve"> </w:t>
      </w:r>
    </w:p>
    <w:p w14:paraId="6637B216" w14:textId="7393E8C6" w:rsidR="006D13BC" w:rsidRDefault="006D13BC" w:rsidP="006D13BC">
      <w:pPr>
        <w:numPr>
          <w:ilvl w:val="1"/>
          <w:numId w:val="0"/>
        </w:numPr>
        <w:spacing w:after="0" w:line="276" w:lineRule="auto"/>
        <w:ind w:firstLine="709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C55DDBB" w14:textId="05B30C41" w:rsidR="00A128F5" w:rsidRDefault="00A128F5" w:rsidP="006D13BC">
      <w:pPr>
        <w:numPr>
          <w:ilvl w:val="1"/>
          <w:numId w:val="0"/>
        </w:numPr>
        <w:spacing w:after="0" w:line="276" w:lineRule="auto"/>
        <w:ind w:firstLine="709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40E9C1C6" w14:textId="77777777" w:rsidR="003C4468" w:rsidRPr="006D13BC" w:rsidRDefault="003C4468" w:rsidP="006D13BC">
      <w:pPr>
        <w:numPr>
          <w:ilvl w:val="1"/>
          <w:numId w:val="0"/>
        </w:numPr>
        <w:spacing w:after="0" w:line="276" w:lineRule="auto"/>
        <w:ind w:firstLine="709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4C1FC0B" w14:textId="14FB37E4" w:rsidR="006D13BC" w:rsidRDefault="003243FB" w:rsidP="00202DB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</w:t>
      </w:r>
      <w:r w:rsidR="006D13BC" w:rsidRPr="006D13BC">
        <w:rPr>
          <w:rFonts w:ascii="Times New Roman" w:hAnsi="Times New Roman" w:cs="Times New Roman"/>
          <w:noProof w:val="0"/>
          <w:sz w:val="24"/>
          <w:szCs w:val="24"/>
        </w:rPr>
        <w:t>usipažin</w:t>
      </w:r>
      <w:r>
        <w:rPr>
          <w:rFonts w:ascii="Times New Roman" w:hAnsi="Times New Roman" w:cs="Times New Roman"/>
          <w:noProof w:val="0"/>
          <w:sz w:val="24"/>
          <w:szCs w:val="24"/>
        </w:rPr>
        <w:t>ę</w:t>
      </w:r>
      <w:r w:rsidR="006D13BC" w:rsidRPr="006D13BC">
        <w:rPr>
          <w:rFonts w:ascii="Times New Roman" w:hAnsi="Times New Roman" w:cs="Times New Roman"/>
          <w:noProof w:val="0"/>
          <w:sz w:val="24"/>
          <w:szCs w:val="24"/>
        </w:rPr>
        <w:t xml:space="preserve"> su </w:t>
      </w:r>
      <w:r w:rsidR="002869D0">
        <w:rPr>
          <w:rFonts w:ascii="Times New Roman" w:hAnsi="Times New Roman" w:cs="Times New Roman"/>
          <w:noProof w:val="0"/>
          <w:sz w:val="24"/>
          <w:szCs w:val="24"/>
        </w:rPr>
        <w:t xml:space="preserve">Vaiko teisių apsaugos kontrolieriaus įstatymo  Nr. VIII-1708 17 ir 22 straipsnių pakeitimo įstatymo projektu Nr. XIIIP-4073, </w:t>
      </w:r>
      <w:r w:rsidR="006D13BC" w:rsidRPr="006D13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teikia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me</w:t>
      </w:r>
      <w:r w:rsidR="006D13BC" w:rsidRPr="006D13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pastabas bei pasiūlymus </w:t>
      </w:r>
      <w:r w:rsidR="002869D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šio projekto tobulinimui:</w:t>
      </w:r>
    </w:p>
    <w:p w14:paraId="1FFC0AE7" w14:textId="216AD153" w:rsidR="00A76BFD" w:rsidRDefault="00E65F52" w:rsidP="00202DB2">
      <w:pPr>
        <w:pStyle w:val="Sraopastraipa"/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Pa</w:t>
      </w:r>
      <w:r w:rsidR="003243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žymėdami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</w:t>
      </w:r>
      <w:r w:rsidR="00A76B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rojekto rengėjų tikslo – didinti viešojo sektoriaus efektyvumą – svarbą, iš esmės pritariame procesų modernizavimui ir skaitmenizavimui, užtikrinant 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Nacionalin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ės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elektroninių siuntų pristatymo, naudojant pašto tinklą, informacin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ės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sistem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os (toliau 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– E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. pristaty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mo sistema)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plėtr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ai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. Tačiau norėtume atkreipti dėmesį, kad vaiko teisių apsaugos kontrolieriaus sprendimai dėl juose esančių įstatymų saugomų asmens duomenų ir asmens (šeimos) privataus gyvenimo detalių yra siunčiami tik registruot</w:t>
      </w:r>
      <w:r w:rsidR="00B25B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ąja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pašto siunta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(jei pareiškėjas nenurodo pageidaujamo atsakymo būdo)</w:t>
      </w:r>
      <w:r w:rsidR="00A76B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, todėl toks reikalavimas turėtų būti nustatytas ir tais atvejais,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kai</w:t>
      </w:r>
      <w:r w:rsidR="00A76B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pareiškėjo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e. pristatymo dėžutė yra neaktyvuota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ar pareiškėjui sprendimas siunčiamas pašto siunta</w:t>
      </w:r>
      <w:r w:rsidR="00A76B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. Šiuo tikslu atitinkamai keistina (papildytina) Projekto 2 straipsniu keičiamo įstatymo 22 straipsnio 3 dalis, prieš žodžius „pašto siunta“ įrašant „registruot</w:t>
      </w:r>
      <w:r w:rsidR="00B25B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ąja</w:t>
      </w:r>
      <w:r w:rsidR="00A76B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“.</w:t>
      </w:r>
    </w:p>
    <w:p w14:paraId="484B465E" w14:textId="7AD4A011" w:rsidR="00912BAD" w:rsidRPr="00DE27E4" w:rsidRDefault="003243FB" w:rsidP="00202DB2">
      <w:pPr>
        <w:pStyle w:val="Sraopastraipa"/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Atkreiptinas dėmesys į vaiko teisių apsaugos kontrolieriaus priimamų sprendimų turinio specifiką. Absoliuti dauguma atliekamų tyrimų yra susiję su pareiškėjų, jų vaikų bei kitų asmenų asmens duomenimis 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(įskaitant duomenis apie psichinę ir fizinę sveikatą)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, jų privataus ir šeimyninio gyvenimo aplinkybėmis</w:t>
      </w:r>
      <w:r w:rsidR="00912BA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, teistumu, kt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. </w:t>
      </w:r>
      <w:r w:rsidR="00912BAD" w:rsidRPr="00912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Sprendime nurodom</w:t>
      </w:r>
      <w:r w:rsidR="00912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</w:t>
      </w:r>
      <w:r w:rsidR="00912BAD" w:rsidRPr="00912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tyrimo metu nustatytos aplinkybės, surinkti įrodymai ir asmenų veikos teisinis įvertinimas</w:t>
      </w:r>
      <w:r w:rsidR="00912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(Vaiko teisių apsaugos kontrolieriaus įstaymo 23 straipsnio 2 dalis)</w:t>
      </w:r>
      <w:r w:rsidR="00DE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55E308B" w14:textId="77777777" w:rsidR="00202DB2" w:rsidRDefault="00A76BFD" w:rsidP="00202DB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Projekto 2 straipsnyje nustatyti ir alternatyvūs 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E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. pristatymo sistema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i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sprendimų pateikimo būdai 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– 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kitomis elektroninių ryšių priemonėmis, pašto siunta, pareiškėjo nurodyt</w:t>
      </w:r>
      <w:r w:rsid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u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pageidaujam</w:t>
      </w:r>
      <w:r w:rsid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u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atsakymo gavimo būd</w:t>
      </w:r>
      <w:r w:rsid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u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. Toks reguliavimas reiškia, kad 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Vaiko teisių apsaugos kontrolieriaus įstaiga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, 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esant Įstatyme nustatytoms aplinkybėms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,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dalį sprendimų teiks</w:t>
      </w:r>
      <w:r w:rsidR="003C44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pareiškėjams </w:t>
      </w:r>
      <w:r w:rsidR="003C44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ir kitiems su sprendimu susijusiems asmenims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registruotomis pašto siuntomis</w:t>
      </w:r>
      <w:r w:rsid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(ne per E. pristatymo sistemą)</w:t>
      </w:r>
      <w:r w:rsidR="003B28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.</w:t>
      </w:r>
      <w:r w:rsid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</w:t>
      </w:r>
    </w:p>
    <w:p w14:paraId="7A52B8F9" w14:textId="14B68159" w:rsidR="00DE27E4" w:rsidRDefault="00DE27E4" w:rsidP="00202DB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Todėl abejotina, ar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tikslinga </w:t>
      </w:r>
      <w:r w:rsidRP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nustatyti tokį teisinį reguliavimą, kuris įpareigotų </w:t>
      </w:r>
      <w:r w:rsid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dalį sprendimų </w:t>
      </w:r>
      <w:r w:rsidR="00C53FD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ir juose esan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čius asmens </w:t>
      </w:r>
      <w:r w:rsidRP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duomenis perduoti </w:t>
      </w:r>
      <w:r w:rsidR="00C53FD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(</w:t>
      </w:r>
      <w:r w:rsidRP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atskleisti</w:t>
      </w:r>
      <w:r w:rsidR="00C53FD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)</w:t>
      </w:r>
      <w:r w:rsidRP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 tretiesiems asmenims (E. pristatymo sistemos operatoriui, kuris atspausdins ir suvokuos elektronine siunta pateiktą sprendimą bei išsiųs jį </w:t>
      </w:r>
      <w:r w:rsidRP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lastRenderedPageBreak/>
        <w:t xml:space="preserve">registruota pašto siunta) tais atvejais, kai </w:t>
      </w:r>
      <w:r w:rsidRPr="00DE27E4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lt-LT"/>
        </w:rPr>
        <w:t>pareiškėjo ir kitų asmenų, kuriems teikiamas sprendimas</w:t>
      </w:r>
      <w:r w:rsidRPr="00DE27E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, informacinės sistemos elektroninio pašto dėžutės yra neaktyvios.</w:t>
      </w:r>
    </w:p>
    <w:p w14:paraId="5C940F1F" w14:textId="66B25A95" w:rsidR="00202DB2" w:rsidRPr="00202DB2" w:rsidRDefault="00B53E3C" w:rsidP="00202DB2">
      <w:pPr>
        <w:ind w:right="-22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Nekvestionuojant įstatymo leidėjo prerogatyvos priimti sprendimus dėl teisinio reguliavimo, siūlytina apsvarstyti tikslingumą Projekto 2 straipsniu keičiamo įstatymo 22 straipsnio 3 dalyje nustatyti, kad vaiko teisių apsaugos kontrolieriaus sprendimai per </w:t>
      </w:r>
      <w:r w:rsid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E. pristatymo </w:t>
      </w:r>
      <w:r w:rsidRPr="003F50AA">
        <w:rPr>
          <w:rFonts w:ascii="Times New Roman" w:hAnsi="Times New Roman" w:cs="Times New Roman"/>
          <w:color w:val="000000"/>
          <w:sz w:val="24"/>
          <w:szCs w:val="24"/>
        </w:rPr>
        <w:t>sistemą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siunčiami</w:t>
      </w:r>
      <w:r w:rsidR="003C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DB2">
        <w:rPr>
          <w:rFonts w:ascii="Times New Roman" w:hAnsi="Times New Roman" w:cs="Times New Roman"/>
          <w:color w:val="000000"/>
          <w:sz w:val="24"/>
          <w:szCs w:val="24"/>
        </w:rPr>
        <w:t xml:space="preserve">tokia prioriteto tvarka: per E. pristaymo sistemą, </w:t>
      </w:r>
      <w:r w:rsidR="00202DB2" w:rsidRPr="003F50AA">
        <w:rPr>
          <w:rFonts w:ascii="Times New Roman" w:hAnsi="Times New Roman" w:cs="Times New Roman"/>
          <w:color w:val="000000"/>
          <w:sz w:val="24"/>
          <w:szCs w:val="24"/>
        </w:rPr>
        <w:t xml:space="preserve">jeigu </w:t>
      </w:r>
      <w:r w:rsidR="00202DB2">
        <w:rPr>
          <w:rFonts w:ascii="Times New Roman" w:hAnsi="Times New Roman" w:cs="Times New Roman"/>
          <w:color w:val="000000"/>
          <w:sz w:val="24"/>
          <w:szCs w:val="24"/>
        </w:rPr>
        <w:t xml:space="preserve">nurodytas </w:t>
      </w:r>
      <w:r w:rsidR="00202DB2" w:rsidRPr="003F50AA">
        <w:rPr>
          <w:rFonts w:ascii="Times New Roman" w:hAnsi="Times New Roman" w:cs="Times New Roman"/>
          <w:color w:val="000000"/>
          <w:sz w:val="24"/>
          <w:szCs w:val="24"/>
        </w:rPr>
        <w:t xml:space="preserve">asmens </w:t>
      </w:r>
      <w:r w:rsidR="00202DB2">
        <w:rPr>
          <w:rFonts w:ascii="Times New Roman" w:hAnsi="Times New Roman" w:cs="Times New Roman"/>
          <w:color w:val="000000"/>
          <w:sz w:val="24"/>
          <w:szCs w:val="24"/>
        </w:rPr>
        <w:t xml:space="preserve">(išskyrus viešojo administravimo subjektus) </w:t>
      </w:r>
      <w:r w:rsidR="00202DB2" w:rsidRPr="003F50AA">
        <w:rPr>
          <w:rFonts w:ascii="Times New Roman" w:hAnsi="Times New Roman" w:cs="Times New Roman"/>
          <w:color w:val="000000"/>
          <w:sz w:val="24"/>
          <w:szCs w:val="24"/>
        </w:rPr>
        <w:t>elektroninio pristatymo dėžutė</w:t>
      </w:r>
      <w:r w:rsidR="00202DB2">
        <w:rPr>
          <w:rFonts w:ascii="Times New Roman" w:hAnsi="Times New Roman" w:cs="Times New Roman"/>
          <w:color w:val="000000"/>
          <w:sz w:val="24"/>
          <w:szCs w:val="24"/>
        </w:rPr>
        <w:t>s sistemoje adresas</w:t>
      </w:r>
      <w:r w:rsidR="00202D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02DB2" w:rsidRP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kitomis elektroninių ryšių priemonėmis, pašto siunta. Kai asmuo yra nurodęs pageidaujamą atsakymo į skundą gavimo būdą ir reikalingus kontaktinius duomenis, atsakymas į skundą jam </w:t>
      </w:r>
      <w:r w:rsid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 xml:space="preserve">būtų </w:t>
      </w:r>
      <w:r w:rsidR="00202DB2" w:rsidRPr="00202DB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t-LT"/>
        </w:rPr>
        <w:t>įteikiamas šiuo būdu.</w:t>
      </w:r>
    </w:p>
    <w:p w14:paraId="0F31F3E0" w14:textId="77777777" w:rsidR="00C53FD8" w:rsidRDefault="00C53FD8" w:rsidP="003F50AA">
      <w:pPr>
        <w:spacing w:after="0" w:line="360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bookmarkStart w:id="2" w:name="part_54bf5511becc44128e081ebd1c0096cb"/>
      <w:bookmarkStart w:id="3" w:name="part_463f0c8b045940b49166d620fd030bf9"/>
      <w:bookmarkEnd w:id="2"/>
      <w:bookmarkEnd w:id="3"/>
    </w:p>
    <w:p w14:paraId="77481E1F" w14:textId="2A6B843A" w:rsidR="00C53FD8" w:rsidRDefault="00C53FD8" w:rsidP="003F50AA">
      <w:pPr>
        <w:spacing w:after="0" w:line="360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9BC6F05" w14:textId="4CFC1DBC" w:rsidR="00C53FD8" w:rsidRDefault="00C53FD8" w:rsidP="003F50AA">
      <w:pPr>
        <w:spacing w:after="0" w:line="360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F0D8624" w14:textId="77777777" w:rsidR="00C53FD8" w:rsidRDefault="00C53FD8" w:rsidP="003F50AA">
      <w:pPr>
        <w:spacing w:after="0" w:line="360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9F03578" w14:textId="0A659D16" w:rsidR="006D13BC" w:rsidRPr="006D13BC" w:rsidRDefault="006D13BC" w:rsidP="003F50AA">
      <w:pPr>
        <w:spacing w:after="0" w:line="360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>Vaiko teisių apsaugos kontrolierė</w:t>
      </w:r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Edita </w:t>
      </w:r>
      <w:proofErr w:type="spellStart"/>
      <w:r w:rsidRPr="006D13BC">
        <w:rPr>
          <w:rFonts w:ascii="Times New Roman" w:eastAsia="Times New Roman" w:hAnsi="Times New Roman" w:cs="Times New Roman"/>
          <w:noProof w:val="0"/>
          <w:sz w:val="24"/>
          <w:szCs w:val="24"/>
        </w:rPr>
        <w:t>Žiobienė</w:t>
      </w:r>
      <w:proofErr w:type="spellEnd"/>
    </w:p>
    <w:p w14:paraId="1F400979" w14:textId="77777777" w:rsidR="006D13BC" w:rsidRPr="006D13BC" w:rsidRDefault="006D13BC" w:rsidP="003F50AA">
      <w:pPr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5F929BA" w14:textId="22C2A621" w:rsidR="003F50AA" w:rsidRDefault="003F50AA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27FA575" w14:textId="75FB39B7" w:rsidR="00DC0FE8" w:rsidRDefault="00DC0FE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41E214DF" w14:textId="19479571" w:rsidR="00DC0FE8" w:rsidRDefault="00DC0FE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A3CCF23" w14:textId="39E36FAC" w:rsidR="00DC0FE8" w:rsidRDefault="00DC0FE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53FD9EC" w14:textId="5D9814AA" w:rsidR="00DC0FE8" w:rsidRDefault="00DC0FE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E5DA71C" w14:textId="77777777" w:rsidR="00DC0FE8" w:rsidRDefault="00DC0FE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9EE7F88" w14:textId="77777777" w:rsidR="003C4468" w:rsidRDefault="003C446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4C5AC01C" w14:textId="24B86FE4" w:rsidR="003C4468" w:rsidRDefault="003C446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2A95591" w14:textId="4544906A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2650C32" w14:textId="2991C444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8231FF8" w14:textId="568E60EF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F29839F" w14:textId="66AB3996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1CD0CA1" w14:textId="426A4DDC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339D4CE" w14:textId="5CA59B2E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83F2454" w14:textId="09619B96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09A80A5" w14:textId="4245E16E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DE6083D" w14:textId="4CD6D1D8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83D2275" w14:textId="0C5FDE4A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4DF730E" w14:textId="1B4DC671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1C2952D" w14:textId="70E194B2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9125718" w14:textId="6FA3F2E1" w:rsidR="00C53FD8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FA9A6A8" w14:textId="77777777" w:rsidR="00C53FD8" w:rsidRPr="006D13BC" w:rsidRDefault="00C53FD8" w:rsidP="006D13BC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3987B96" w14:textId="51477B46" w:rsidR="00302183" w:rsidRPr="003C4468" w:rsidRDefault="006D13BC" w:rsidP="00A128F5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proofErr w:type="spellStart"/>
      <w:r w:rsidRPr="006D13BC">
        <w:rPr>
          <w:rFonts w:ascii="Times New Roman" w:hAnsi="Times New Roman" w:cs="Times New Roman"/>
          <w:noProof w:val="0"/>
          <w:sz w:val="24"/>
          <w:szCs w:val="24"/>
        </w:rPr>
        <w:t>Eivilė</w:t>
      </w:r>
      <w:proofErr w:type="spellEnd"/>
      <w:r w:rsidRPr="006D13BC">
        <w:rPr>
          <w:rFonts w:ascii="Times New Roman" w:hAnsi="Times New Roman" w:cs="Times New Roman"/>
          <w:noProof w:val="0"/>
          <w:sz w:val="24"/>
          <w:szCs w:val="24"/>
        </w:rPr>
        <w:t xml:space="preserve"> Žemaitytė, tel. (8 5) 210 7175 el. p. </w:t>
      </w:r>
      <w:hyperlink r:id="rId5" w:history="1">
        <w:r w:rsidRPr="006D13BC">
          <w:rPr>
            <w:rFonts w:ascii="Times New Roman" w:hAnsi="Times New Roman" w:cs="Times New Roman"/>
            <w:noProof w:val="0"/>
            <w:sz w:val="24"/>
            <w:szCs w:val="24"/>
          </w:rPr>
          <w:t>eivile.zemaityte@vtaki.lt</w:t>
        </w:r>
      </w:hyperlink>
      <w:bookmarkEnd w:id="0"/>
    </w:p>
    <w:p w14:paraId="4CBB7BC0" w14:textId="7F5C0C76" w:rsidR="00A128F5" w:rsidRPr="003C4468" w:rsidRDefault="00A128F5" w:rsidP="00A128F5">
      <w:pPr>
        <w:spacing w:after="0" w:line="276" w:lineRule="auto"/>
        <w:ind w:right="4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3C4468">
        <w:rPr>
          <w:rFonts w:ascii="Times New Roman" w:hAnsi="Times New Roman" w:cs="Times New Roman"/>
          <w:noProof w:val="0"/>
          <w:sz w:val="24"/>
          <w:szCs w:val="24"/>
        </w:rPr>
        <w:t xml:space="preserve">Audronė Bedorf, tel. (8 5) 249 9259, </w:t>
      </w:r>
      <w:proofErr w:type="spellStart"/>
      <w:r w:rsidRPr="003C4468">
        <w:rPr>
          <w:rFonts w:ascii="Times New Roman" w:hAnsi="Times New Roman" w:cs="Times New Roman"/>
          <w:noProof w:val="0"/>
          <w:sz w:val="24"/>
          <w:szCs w:val="24"/>
        </w:rPr>
        <w:t>el.p</w:t>
      </w:r>
      <w:proofErr w:type="spellEnd"/>
      <w:r w:rsidRPr="003C4468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hyperlink r:id="rId6" w:history="1">
        <w:r w:rsidRPr="003C4468">
          <w:rPr>
            <w:rStyle w:val="Hipersaitas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</w:rPr>
          <w:t>audrone.bedorf</w:t>
        </w:r>
        <w:r w:rsidRPr="003C4468">
          <w:rPr>
            <w:rStyle w:val="Hipersaitas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lang w:val="en-US"/>
          </w:rPr>
          <w:t>@vtaki.lt</w:t>
        </w:r>
      </w:hyperlink>
    </w:p>
    <w:sectPr w:rsidR="00A128F5" w:rsidRPr="003C4468" w:rsidSect="00B87E10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737" w:bottom="1134" w:left="1560" w:header="1134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50"/>
      <w:gridCol w:w="2247"/>
      <w:gridCol w:w="3222"/>
      <w:gridCol w:w="1663"/>
    </w:tblGrid>
    <w:tr w:rsidR="007F1BA2" w14:paraId="4BA08AAF" w14:textId="77777777">
      <w:trPr>
        <w:trHeight w:val="260"/>
      </w:trPr>
      <w:tc>
        <w:tcPr>
          <w:tcW w:w="24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933D98" w14:textId="77777777" w:rsidR="007F1BA2" w:rsidRDefault="00DA1195">
          <w:pPr>
            <w:pStyle w:val="Porat"/>
            <w:rPr>
              <w:sz w:val="16"/>
            </w:rPr>
          </w:pPr>
        </w:p>
      </w:tc>
      <w:tc>
        <w:tcPr>
          <w:tcW w:w="22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AEDD9C" w14:textId="77777777" w:rsidR="007F1BA2" w:rsidRDefault="00DA1195">
          <w:pPr>
            <w:pStyle w:val="Porat"/>
            <w:rPr>
              <w:sz w:val="16"/>
            </w:rPr>
          </w:pPr>
        </w:p>
      </w:tc>
      <w:tc>
        <w:tcPr>
          <w:tcW w:w="32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78B15E" w14:textId="77777777" w:rsidR="007F1BA2" w:rsidRDefault="00DA1195">
          <w:pPr>
            <w:pStyle w:val="Porat"/>
            <w:rPr>
              <w:sz w:val="16"/>
            </w:rPr>
          </w:pPr>
        </w:p>
      </w:tc>
      <w:tc>
        <w:tcPr>
          <w:tcW w:w="16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393B30" w14:textId="77777777" w:rsidR="007F1BA2" w:rsidRDefault="00DA1195">
          <w:pPr>
            <w:pStyle w:val="Porat"/>
            <w:jc w:val="center"/>
            <w:rPr>
              <w:sz w:val="16"/>
            </w:rPr>
          </w:pPr>
        </w:p>
      </w:tc>
    </w:tr>
  </w:tbl>
  <w:p w14:paraId="68F54B24" w14:textId="77777777" w:rsidR="007F1BA2" w:rsidRDefault="00DA1195">
    <w:pPr>
      <w:pStyle w:val="Pora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08"/>
      <w:gridCol w:w="1695"/>
    </w:tblGrid>
    <w:tr w:rsidR="007F1BA2" w:rsidRPr="00BF7C07" w14:paraId="1FF4683E" w14:textId="77777777">
      <w:trPr>
        <w:cantSplit/>
        <w:trHeight w:val="260"/>
      </w:trPr>
      <w:tc>
        <w:tcPr>
          <w:tcW w:w="97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E6F208C" w14:textId="77777777" w:rsidR="007F1BA2" w:rsidRPr="00BF7C07" w:rsidRDefault="00DA1195">
          <w:pPr>
            <w:spacing w:after="0" w:line="240" w:lineRule="auto"/>
            <w:ind w:left="-357"/>
            <w:jc w:val="center"/>
            <w:rPr>
              <w:rFonts w:ascii="Times New Roman" w:hAnsi="Times New Roman" w:cs="Times New Roman"/>
            </w:rPr>
          </w:pPr>
          <w:r w:rsidRPr="00BF7C07">
            <w:rPr>
              <w:rFonts w:ascii="Times New Roman" w:hAnsi="Times New Roman" w:cs="Times New Roman"/>
              <w:sz w:val="18"/>
            </w:rPr>
            <w:t xml:space="preserve">Biudžetinė įstaiga, Plačioji g. 10, LT-01308  Vilnius, tel. (8-5) 210 7176, faks. </w:t>
          </w:r>
          <w:r w:rsidRPr="00BF7C07">
            <w:rPr>
              <w:rFonts w:ascii="Times New Roman" w:hAnsi="Times New Roman" w:cs="Times New Roman"/>
              <w:sz w:val="18"/>
              <w:szCs w:val="18"/>
            </w:rPr>
            <w:t>(8-5) 265 7960,</w:t>
          </w:r>
          <w:r w:rsidRPr="00BF7C07">
            <w:rPr>
              <w:rFonts w:ascii="Times New Roman" w:hAnsi="Times New Roman" w:cs="Times New Roman"/>
              <w:sz w:val="18"/>
            </w:rPr>
            <w:t xml:space="preserve"> el. paštas: </w:t>
          </w:r>
          <w:hyperlink r:id="rId1" w:history="1">
            <w:r w:rsidRPr="00BF7C07">
              <w:rPr>
                <w:rStyle w:val="Hipersaitas"/>
                <w:rFonts w:ascii="Times New Roman" w:hAnsi="Times New Roman" w:cs="Times New Roman"/>
                <w:sz w:val="18"/>
              </w:rPr>
              <w:t>vtaki@vtaki.lt</w:t>
            </w:r>
          </w:hyperlink>
        </w:p>
        <w:p w14:paraId="284064BE" w14:textId="77777777" w:rsidR="007F1BA2" w:rsidRPr="00BF7C07" w:rsidRDefault="00DA1195" w:rsidP="00B77844">
          <w:pPr>
            <w:spacing w:after="0" w:line="240" w:lineRule="auto"/>
            <w:ind w:left="-357"/>
            <w:jc w:val="center"/>
            <w:rPr>
              <w:rFonts w:ascii="Times New Roman" w:hAnsi="Times New Roman" w:cs="Times New Roman"/>
              <w:sz w:val="18"/>
            </w:rPr>
          </w:pPr>
          <w:r w:rsidRPr="00BF7C07">
            <w:rPr>
              <w:rFonts w:ascii="Times New Roman" w:hAnsi="Times New Roman" w:cs="Times New Roman"/>
              <w:sz w:val="18"/>
            </w:rPr>
            <w:t xml:space="preserve">Duomenys kaupiami ir saugomi </w:t>
          </w:r>
          <w:r w:rsidRPr="00BF7C07">
            <w:rPr>
              <w:rFonts w:ascii="Times New Roman" w:hAnsi="Times New Roman" w:cs="Times New Roman"/>
              <w:sz w:val="18"/>
            </w:rPr>
            <w:t>Juridinių asmenų registre, kodas 188755327</w:t>
          </w:r>
        </w:p>
      </w:tc>
      <w:tc>
        <w:tcPr>
          <w:tcW w:w="1695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65843F" w14:textId="77777777" w:rsidR="007F1BA2" w:rsidRPr="00BF7C07" w:rsidRDefault="00DA1195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  <w:p w14:paraId="568F39B4" w14:textId="77777777" w:rsidR="007F1BA2" w:rsidRPr="00BF7C07" w:rsidRDefault="00DA1195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  <w:p w14:paraId="4FA59FE8" w14:textId="77777777" w:rsidR="007F1BA2" w:rsidRPr="00BF7C07" w:rsidRDefault="00DA1195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</w:tc>
    </w:tr>
  </w:tbl>
  <w:p w14:paraId="7E4FC7A5" w14:textId="77777777" w:rsidR="007F1BA2" w:rsidRPr="00BF7C07" w:rsidRDefault="00DA1195">
    <w:pPr>
      <w:pStyle w:val="Porat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071A" w14:textId="77777777" w:rsidR="007F1BA2" w:rsidRDefault="00DA1195">
    <w:pPr>
      <w:pStyle w:val="Antrats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BB21C79" wp14:editId="1AFAFE10">
              <wp:simplePos x="0" y="0"/>
              <wp:positionH relativeFrom="margin">
                <wp:align>center</wp:align>
              </wp:positionH>
              <wp:positionV relativeFrom="paragraph">
                <wp:posOffset>-180975</wp:posOffset>
              </wp:positionV>
              <wp:extent cx="0" cy="0"/>
              <wp:effectExtent l="0" t="0" r="5080" b="63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DF30B0" w14:textId="77777777" w:rsidR="007F1BA2" w:rsidRPr="0045509F" w:rsidRDefault="00DA1195">
                          <w:pPr>
                            <w:pStyle w:val="Antrats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5509F">
                            <w:rPr>
                              <w:rStyle w:val="Puslapionumeris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5509F">
                            <w:rPr>
                              <w:rStyle w:val="Puslapionumeris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45509F">
                            <w:rPr>
                              <w:rStyle w:val="Puslapionumeris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45509F">
                            <w:rPr>
                              <w:rStyle w:val="Puslapionumeris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 w:rsidRPr="0045509F">
                            <w:rPr>
                              <w:rStyle w:val="Puslapionumeris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21C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14.2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" filled="f" stroked="f">
              <v:textbox style="mso-fit-shape-to-text:t" inset="0,0,0,0">
                <w:txbxContent>
                  <w:p w14:paraId="7ADF30B0" w14:textId="77777777" w:rsidR="007F1BA2" w:rsidRPr="0045509F" w:rsidRDefault="00DA1195">
                    <w:pPr>
                      <w:pStyle w:val="Antrats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5509F">
                      <w:rPr>
                        <w:rStyle w:val="Puslapionumeris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45509F">
                      <w:rPr>
                        <w:rStyle w:val="Puslapionumeris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45509F">
                      <w:rPr>
                        <w:rStyle w:val="Puslapionumeris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45509F">
                      <w:rPr>
                        <w:rStyle w:val="Puslapionumeris"/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 w:rsidRPr="0045509F">
                      <w:rPr>
                        <w:rStyle w:val="Puslapionumeris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582"/>
    </w:tblGrid>
    <w:tr w:rsidR="007F1BA2" w14:paraId="2F82F179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EA4B365" w14:textId="77777777" w:rsidR="007F1BA2" w:rsidRPr="00724263" w:rsidRDefault="00DA1195">
          <w:pPr>
            <w:pStyle w:val="Antrats"/>
            <w:tabs>
              <w:tab w:val="center" w:pos="4900"/>
            </w:tabs>
            <w:jc w:val="right"/>
            <w:rPr>
              <w:rFonts w:ascii="TimesLT" w:hAnsi="TimesLT"/>
              <w:b/>
            </w:rPr>
          </w:pPr>
          <w:r w:rsidRPr="00724263">
            <w:rPr>
              <w:rFonts w:ascii="TimesLT" w:hAnsi="TimesLT"/>
              <w:b/>
            </w:rPr>
            <w:t>Originalas siunčiamas nebus</w:t>
          </w:r>
        </w:p>
      </w:tc>
    </w:tr>
    <w:tr w:rsidR="007F1BA2" w14:paraId="577C0B01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76893F" w14:textId="77777777" w:rsidR="007F1BA2" w:rsidRDefault="00DA1195">
          <w:pPr>
            <w:pStyle w:val="Antrats"/>
            <w:tabs>
              <w:tab w:val="center" w:pos="4900"/>
            </w:tabs>
            <w:jc w:val="right"/>
            <w:rPr>
              <w:rFonts w:ascii="TimesLT" w:hAnsi="TimesLT"/>
            </w:rPr>
          </w:pPr>
        </w:p>
      </w:tc>
    </w:tr>
    <w:tr w:rsidR="007F1BA2" w14:paraId="584B28CD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BF0C64" w14:textId="77777777" w:rsidR="007F1BA2" w:rsidRPr="005B53BF" w:rsidRDefault="00DA1195">
          <w:pPr>
            <w:pStyle w:val="Antrats"/>
            <w:tabs>
              <w:tab w:val="center" w:pos="4900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4" w:name="_MON_1064649012"/>
          <w:bookmarkStart w:id="5" w:name="_MON_1064649033"/>
          <w:bookmarkEnd w:id="4"/>
          <w:bookmarkEnd w:id="5"/>
          <w:r>
            <w:rPr>
              <w:rFonts w:ascii="Times New Roman" w:hAnsi="Times New Roman" w:cs="Times New Roman"/>
              <w:sz w:val="24"/>
              <w:szCs w:val="24"/>
            </w:rPr>
            <w:drawing>
              <wp:inline distT="0" distB="0" distL="0" distR="0" wp14:anchorId="29F176D1" wp14:editId="2F6802F3">
                <wp:extent cx="525780" cy="502920"/>
                <wp:effectExtent l="0" t="0" r="0" b="0"/>
                <wp:docPr id="4" name="Paveikslėl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1BA2" w14:paraId="1D3E67AE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691D75" w14:textId="77777777" w:rsidR="007F1BA2" w:rsidRPr="005B53BF" w:rsidRDefault="00DA1195">
          <w:pPr>
            <w:pStyle w:val="Antrats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53BF">
            <w:rPr>
              <w:rFonts w:ascii="Times New Roman" w:hAnsi="Times New Roman" w:cs="Times New Roman"/>
              <w:b/>
              <w:sz w:val="24"/>
              <w:szCs w:val="24"/>
            </w:rPr>
            <w:t>LIETUVOS RESPUBLIKOS</w:t>
          </w:r>
        </w:p>
        <w:p w14:paraId="199BFB4E" w14:textId="77777777" w:rsidR="007F1BA2" w:rsidRPr="005B53BF" w:rsidRDefault="00DA1195">
          <w:pPr>
            <w:pStyle w:val="Antrats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53B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VAIKO TEISIŲ APSAUGOS KONTROLIERIAUS ĮSTAIGA </w:t>
          </w:r>
        </w:p>
        <w:p w14:paraId="1004A519" w14:textId="77777777" w:rsidR="007F1BA2" w:rsidRPr="005B53BF" w:rsidRDefault="00DA1195">
          <w:pPr>
            <w:pStyle w:val="Antrats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E1C4F81" w14:textId="77777777" w:rsidR="007F1BA2" w:rsidRDefault="00DA119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97902"/>
    <w:multiLevelType w:val="hybridMultilevel"/>
    <w:tmpl w:val="56B0EEEC"/>
    <w:lvl w:ilvl="0" w:tplc="01C0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4934B9"/>
    <w:multiLevelType w:val="hybridMultilevel"/>
    <w:tmpl w:val="6BBEB4D0"/>
    <w:lvl w:ilvl="0" w:tplc="5C7EA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A7A9E"/>
    <w:multiLevelType w:val="hybridMultilevel"/>
    <w:tmpl w:val="5A945E10"/>
    <w:lvl w:ilvl="0" w:tplc="1AFC9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BC"/>
    <w:rsid w:val="00000AF5"/>
    <w:rsid w:val="00140EFC"/>
    <w:rsid w:val="00202DB2"/>
    <w:rsid w:val="002869D0"/>
    <w:rsid w:val="00302183"/>
    <w:rsid w:val="003243FB"/>
    <w:rsid w:val="0033025E"/>
    <w:rsid w:val="003B28F7"/>
    <w:rsid w:val="003C4468"/>
    <w:rsid w:val="003F50AA"/>
    <w:rsid w:val="00614300"/>
    <w:rsid w:val="006B27E7"/>
    <w:rsid w:val="006D13BC"/>
    <w:rsid w:val="007C5CEB"/>
    <w:rsid w:val="00912BAD"/>
    <w:rsid w:val="00A128F5"/>
    <w:rsid w:val="00A76BFD"/>
    <w:rsid w:val="00B25B89"/>
    <w:rsid w:val="00B53E3C"/>
    <w:rsid w:val="00BB45F5"/>
    <w:rsid w:val="00C36BF7"/>
    <w:rsid w:val="00C53FD8"/>
    <w:rsid w:val="00DA1195"/>
    <w:rsid w:val="00DC0FE8"/>
    <w:rsid w:val="00DE27E4"/>
    <w:rsid w:val="00E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59EA"/>
  <w15:chartTrackingRefBased/>
  <w15:docId w15:val="{01E433F0-7978-4FBA-9310-F8918DCE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noProof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D1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3BC"/>
    <w:rPr>
      <w:noProof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D13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3BC"/>
    <w:rPr>
      <w:noProof/>
      <w:lang w:val="lt-LT"/>
    </w:rPr>
  </w:style>
  <w:style w:type="character" w:styleId="Puslapionumeris">
    <w:name w:val="page number"/>
    <w:basedOn w:val="Numatytasispastraiposriftas"/>
    <w:rsid w:val="006D13BC"/>
  </w:style>
  <w:style w:type="character" w:styleId="Hipersaitas">
    <w:name w:val="Hyperlink"/>
    <w:basedOn w:val="Numatytasispastraiposriftas"/>
    <w:rsid w:val="006D13B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B27E7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A1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rone.bedorf@vtaki.l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ivile.zemaityte@vtaki.l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taki@vtaki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Eivile Zemaityte</dc:creator>
  <cp:keywords/>
  <dc:description/>
  <cp:lastModifiedBy>Eivile Zemaityte</cp:lastModifiedBy>
  <cp:revision>1</cp:revision>
  <cp:lastPrinted>2020-03-10T12:43:00Z</cp:lastPrinted>
  <dcterms:created xsi:type="dcterms:W3CDTF">2020-03-09T08:13:00Z</dcterms:created>
  <dcterms:modified xsi:type="dcterms:W3CDTF">2020-03-10T12:45:00Z</dcterms:modified>
</cp:coreProperties>
</file>