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B698" w14:textId="43A9D42A" w:rsidR="003B7342" w:rsidRPr="003B7342" w:rsidRDefault="003B7342" w:rsidP="003B73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342">
        <w:rPr>
          <w:rFonts w:ascii="Times New Roman" w:eastAsia="Times New Roman" w:hAnsi="Times New Roman" w:cs="Times New Roman"/>
          <w:sz w:val="24"/>
          <w:szCs w:val="24"/>
        </w:rPr>
        <w:t>Socialinės apsaugos ir darbo ministerijai</w:t>
      </w:r>
      <w:r w:rsidRPr="003B7342">
        <w:rPr>
          <w:rFonts w:ascii="Times New Roman" w:eastAsia="Times New Roman" w:hAnsi="Times New Roman" w:cs="Times New Roman"/>
          <w:sz w:val="24"/>
          <w:szCs w:val="24"/>
        </w:rPr>
        <w:tab/>
        <w:t xml:space="preserve">  2022-05-     Nr. (1.19 -2022-</w:t>
      </w:r>
      <w:r>
        <w:rPr>
          <w:rFonts w:ascii="Times New Roman" w:eastAsia="Times New Roman" w:hAnsi="Times New Roman" w:cs="Times New Roman"/>
          <w:sz w:val="24"/>
          <w:szCs w:val="24"/>
        </w:rPr>
        <w:t>152</w:t>
      </w:r>
      <w:r w:rsidRPr="003B7342">
        <w:rPr>
          <w:rFonts w:ascii="Times New Roman" w:eastAsia="Times New Roman" w:hAnsi="Times New Roman" w:cs="Times New Roman"/>
          <w:sz w:val="24"/>
          <w:szCs w:val="24"/>
        </w:rPr>
        <w:t>)2-</w:t>
      </w:r>
    </w:p>
    <w:p w14:paraId="72F4CCFE" w14:textId="77777777" w:rsidR="003B7342" w:rsidRPr="003B7342" w:rsidRDefault="003B7342" w:rsidP="003B7342">
      <w:pPr>
        <w:tabs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342">
        <w:rPr>
          <w:rFonts w:ascii="Times New Roman" w:eastAsia="Times New Roman" w:hAnsi="Times New Roman" w:cs="Times New Roman"/>
          <w:sz w:val="24"/>
          <w:szCs w:val="24"/>
        </w:rPr>
        <w:t>El. paštas post@socmin.lt</w:t>
      </w:r>
      <w:r w:rsidRPr="003B734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D90AB0" w14:textId="77777777" w:rsidR="003B7342" w:rsidRPr="003B7342" w:rsidRDefault="003B7342" w:rsidP="003B7342">
      <w:pPr>
        <w:tabs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7BD0EA" w14:textId="77777777" w:rsidR="003B7342" w:rsidRPr="003B7342" w:rsidRDefault="003B7342" w:rsidP="003B7342">
      <w:pPr>
        <w:tabs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80A65B7" w14:textId="1F3F593A" w:rsidR="003B7342" w:rsidRPr="003B7342" w:rsidRDefault="003B7342" w:rsidP="003B73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3B73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DĖL </w:t>
      </w:r>
      <w:r w:rsidR="00D26BB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VYRIAUSYBĖS NUTARIMO PROJEKTO</w:t>
      </w:r>
      <w:r w:rsidRPr="003B73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nR.22-6</w:t>
      </w:r>
      <w:r w:rsidR="00D26BB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363</w:t>
      </w:r>
      <w:r w:rsidRPr="003B73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DERINIMO</w:t>
      </w:r>
    </w:p>
    <w:p w14:paraId="41ED0CF9" w14:textId="77777777" w:rsidR="003B7342" w:rsidRPr="003B7342" w:rsidRDefault="003B7342" w:rsidP="003B7342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179116" w14:textId="77777777" w:rsidR="003B7342" w:rsidRPr="003B7342" w:rsidRDefault="003B7342" w:rsidP="003B7342">
      <w:pPr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25D0A9" w14:textId="14730CD6" w:rsidR="003B7342" w:rsidRPr="003B7342" w:rsidRDefault="003B7342" w:rsidP="003B7342">
      <w:pPr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B7342">
        <w:rPr>
          <w:rFonts w:ascii="Times New Roman" w:eastAsia="Times New Roman" w:hAnsi="Times New Roman" w:cs="Times New Roman"/>
          <w:sz w:val="24"/>
          <w:szCs w:val="24"/>
        </w:rPr>
        <w:t>Vaiko teisių apsaugos kontrolierė, susipažinusi su pateiktu derinti</w:t>
      </w:r>
      <w:r w:rsidRPr="003B73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3B7342">
        <w:rPr>
          <w:rFonts w:ascii="Times New Roman" w:eastAsia="Calibri" w:hAnsi="Times New Roman" w:cs="Times New Roman"/>
          <w:sz w:val="24"/>
          <w:szCs w:val="24"/>
        </w:rPr>
        <w:t xml:space="preserve">Lietuvos Respublikos </w:t>
      </w:r>
      <w:r w:rsidRPr="00D26BB4">
        <w:rPr>
          <w:rFonts w:ascii="Times New Roman" w:eastAsia="Calibri" w:hAnsi="Times New Roman" w:cs="Times New Roman"/>
          <w:sz w:val="24"/>
          <w:szCs w:val="24"/>
        </w:rPr>
        <w:t>Vyriausybės</w:t>
      </w:r>
      <w:r w:rsidRPr="00D26BB4">
        <w:rPr>
          <w:rFonts w:ascii="Times New Roman" w:hAnsi="Times New Roman" w:cs="Times New Roman"/>
          <w:color w:val="000000"/>
          <w:sz w:val="24"/>
          <w:szCs w:val="24"/>
        </w:rPr>
        <w:t xml:space="preserve"> 2002 m. rugsėjo 10 d. nutarimo Nr. 1422 </w:t>
      </w:r>
      <w:r w:rsidR="00D26BB4" w:rsidRPr="00D26BB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26BB4">
        <w:rPr>
          <w:rFonts w:ascii="Times New Roman" w:hAnsi="Times New Roman" w:cs="Times New Roman"/>
          <w:color w:val="000000"/>
          <w:sz w:val="24"/>
          <w:szCs w:val="24"/>
        </w:rPr>
        <w:t>Dėl Asmenų, norinčių įvaikinti vaikus, ir galimų įvaikinti vaikų apskaitos Lietuvos Respublikoje tvarkos aprašo patvirtinimo</w:t>
      </w:r>
      <w:r w:rsidR="00D26BB4" w:rsidRPr="00D26BB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26BB4">
        <w:rPr>
          <w:rFonts w:ascii="Times New Roman" w:hAnsi="Times New Roman" w:cs="Times New Roman"/>
          <w:color w:val="000000"/>
          <w:sz w:val="24"/>
          <w:szCs w:val="24"/>
        </w:rPr>
        <w:t xml:space="preserve">  pakeitimo projektu</w:t>
      </w:r>
      <w:r w:rsidRPr="003B7342">
        <w:rPr>
          <w:rFonts w:ascii="Times New Roman" w:eastAsia="Calibri" w:hAnsi="Times New Roman" w:cs="Times New Roman"/>
          <w:bCs/>
          <w:sz w:val="24"/>
          <w:szCs w:val="24"/>
        </w:rPr>
        <w:t xml:space="preserve"> Nr.22-</w:t>
      </w:r>
      <w:r w:rsidR="00D26BB4" w:rsidRPr="00D26BB4">
        <w:rPr>
          <w:rFonts w:ascii="Times New Roman" w:eastAsia="Calibri" w:hAnsi="Times New Roman" w:cs="Times New Roman"/>
          <w:bCs/>
          <w:sz w:val="24"/>
          <w:szCs w:val="24"/>
        </w:rPr>
        <w:t>6363</w:t>
      </w:r>
      <w:r w:rsidR="00D26BB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B7342">
        <w:rPr>
          <w:rFonts w:ascii="Times New Roman" w:eastAsia="Calibri" w:hAnsi="Times New Roman" w:cs="Times New Roman"/>
          <w:bCs/>
          <w:sz w:val="24"/>
          <w:szCs w:val="24"/>
        </w:rPr>
        <w:t xml:space="preserve">(toliau – Projektas), </w:t>
      </w:r>
      <w:r w:rsidRPr="003B7342">
        <w:rPr>
          <w:rFonts w:ascii="Times New Roman" w:eastAsia="Calibri" w:hAnsi="Times New Roman" w:cs="Times New Roman"/>
          <w:sz w:val="24"/>
          <w:szCs w:val="24"/>
        </w:rPr>
        <w:t>pagal kompetenciją teikia šias pastabas (pasiūlymus) Projekto tobulinimui:</w:t>
      </w:r>
    </w:p>
    <w:p w14:paraId="4E7F5208" w14:textId="74A95E64" w:rsidR="006C3EB9" w:rsidRDefault="003B7342" w:rsidP="003B7342">
      <w:pPr>
        <w:suppressAutoHyphens/>
        <w:autoSpaceDN w:val="0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B734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C3EB9">
        <w:rPr>
          <w:rFonts w:ascii="Times New Roman" w:eastAsia="Calibri" w:hAnsi="Times New Roman" w:cs="Times New Roman"/>
          <w:sz w:val="24"/>
          <w:szCs w:val="24"/>
        </w:rPr>
        <w:t xml:space="preserve">Tikslinti </w:t>
      </w:r>
      <w:r w:rsidRPr="003B7342">
        <w:rPr>
          <w:rFonts w:ascii="Times New Roman" w:eastAsia="Calibri" w:hAnsi="Times New Roman" w:cs="Times New Roman"/>
          <w:sz w:val="24"/>
          <w:szCs w:val="24"/>
        </w:rPr>
        <w:t xml:space="preserve">Projekto </w:t>
      </w:r>
      <w:r w:rsidR="006C3EB9">
        <w:rPr>
          <w:rFonts w:ascii="Times New Roman" w:eastAsia="Calibri" w:hAnsi="Times New Roman" w:cs="Times New Roman"/>
          <w:sz w:val="24"/>
          <w:szCs w:val="24"/>
        </w:rPr>
        <w:t>5.2.</w:t>
      </w:r>
      <w:r w:rsidRPr="003B7342">
        <w:rPr>
          <w:rFonts w:ascii="Times New Roman" w:eastAsia="Calibri" w:hAnsi="Times New Roman" w:cs="Times New Roman"/>
          <w:sz w:val="24"/>
          <w:szCs w:val="24"/>
        </w:rPr>
        <w:t xml:space="preserve"> punkto formuluot</w:t>
      </w:r>
      <w:r w:rsidR="006C3EB9">
        <w:rPr>
          <w:rFonts w:ascii="Times New Roman" w:eastAsia="Calibri" w:hAnsi="Times New Roman" w:cs="Times New Roman"/>
          <w:sz w:val="24"/>
          <w:szCs w:val="24"/>
        </w:rPr>
        <w:t>ę, išbraukiant žodžių junginį „arba pripažinti nežinia kur esančiais“</w:t>
      </w:r>
      <w:r w:rsidR="00B317CB">
        <w:rPr>
          <w:rFonts w:ascii="Times New Roman" w:eastAsia="Calibri" w:hAnsi="Times New Roman" w:cs="Times New Roman"/>
          <w:sz w:val="24"/>
          <w:szCs w:val="24"/>
        </w:rPr>
        <w:t>, kadangi tėvų ar vienintelio iš tėvų pripažinimas nežinia kur esančiu savaime negali būti pagrindas vaiko įvaikinimui</w:t>
      </w:r>
      <w:r w:rsidR="00E919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4ECC37" w14:textId="53E3AB96" w:rsidR="00F21C4B" w:rsidRDefault="00B317CB" w:rsidP="009641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D2C">
        <w:rPr>
          <w:rFonts w:ascii="Times New Roman" w:eastAsia="Calibri" w:hAnsi="Times New Roman" w:cs="Times New Roman"/>
          <w:sz w:val="24"/>
          <w:szCs w:val="24"/>
        </w:rPr>
        <w:t xml:space="preserve">Nors Civilinio kodekso 3.257 straipsnio 2 punkte </w:t>
      </w:r>
      <w:r w:rsidRPr="003D1D2C">
        <w:rPr>
          <w:rFonts w:ascii="Times New Roman" w:hAnsi="Times New Roman" w:cs="Times New Roman"/>
          <w:sz w:val="24"/>
          <w:szCs w:val="24"/>
        </w:rPr>
        <w:t>abiejų tėvų arba turėto vienintelio iš tėvų pripažini</w:t>
      </w:r>
      <w:r w:rsidR="00F028EA" w:rsidRPr="003D1D2C">
        <w:rPr>
          <w:rFonts w:ascii="Times New Roman" w:hAnsi="Times New Roman" w:cs="Times New Roman"/>
          <w:sz w:val="24"/>
          <w:szCs w:val="24"/>
        </w:rPr>
        <w:t>mas</w:t>
      </w:r>
      <w:r w:rsidRPr="003D1D2C">
        <w:rPr>
          <w:rFonts w:ascii="Times New Roman" w:hAnsi="Times New Roman" w:cs="Times New Roman"/>
          <w:sz w:val="24"/>
          <w:szCs w:val="24"/>
        </w:rPr>
        <w:t xml:space="preserve"> nežinia kur esančiais</w:t>
      </w:r>
      <w:r w:rsidR="00F028EA" w:rsidRPr="003D1D2C">
        <w:rPr>
          <w:rFonts w:ascii="Times New Roman" w:hAnsi="Times New Roman" w:cs="Times New Roman"/>
          <w:sz w:val="24"/>
          <w:szCs w:val="24"/>
        </w:rPr>
        <w:t xml:space="preserve"> yra vienas iš nuolatinės globos nustatymo pagrindų, sisteminė Civilinio kodekso normų analizė laidžia teigti, kad priešingai nei </w:t>
      </w:r>
      <w:r w:rsidR="00E43689" w:rsidRPr="003D1D2C">
        <w:rPr>
          <w:rFonts w:ascii="Times New Roman" w:hAnsi="Times New Roman" w:cs="Times New Roman"/>
          <w:sz w:val="24"/>
          <w:szCs w:val="24"/>
        </w:rPr>
        <w:t xml:space="preserve">tėvų ar vienintelio iš tėvų </w:t>
      </w:r>
      <w:r w:rsidR="00F028EA" w:rsidRPr="003D1D2C">
        <w:rPr>
          <w:rFonts w:ascii="Times New Roman" w:hAnsi="Times New Roman" w:cs="Times New Roman"/>
          <w:sz w:val="24"/>
          <w:szCs w:val="24"/>
        </w:rPr>
        <w:t xml:space="preserve">paskelbimo mirusiais (mirusiu) atveju vaikas negali būti įtraukiamas į įvaikinamų vaikų apskaitą ir iki abiejų tėvų arba turėto vienintelio iš tėvų paskelbimo mirusiais negali būti įvaikinamas. Atkreiptinas dėmesys, kad Civilinio kodekso </w:t>
      </w:r>
      <w:r w:rsidR="00E43689" w:rsidRPr="003D1D2C">
        <w:rPr>
          <w:rFonts w:ascii="Times New Roman" w:hAnsi="Times New Roman" w:cs="Times New Roman"/>
          <w:bCs/>
          <w:sz w:val="24"/>
          <w:szCs w:val="24"/>
          <w:lang w:eastAsia="lt-LT"/>
        </w:rPr>
        <w:t>3.214 straipsnyje nustatyta, kad</w:t>
      </w:r>
      <w:r w:rsidR="00E43689" w:rsidRPr="003D1D2C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E43689" w:rsidRPr="003D1D2C">
        <w:rPr>
          <w:rFonts w:ascii="Times New Roman" w:hAnsi="Times New Roman" w:cs="Times New Roman"/>
          <w:bCs/>
          <w:sz w:val="24"/>
          <w:szCs w:val="24"/>
          <w:lang w:eastAsia="lt-LT"/>
        </w:rPr>
        <w:t>įvaikinamo</w:t>
      </w:r>
      <w:r w:rsidR="00E43689" w:rsidRPr="003D1D2C">
        <w:rPr>
          <w:rFonts w:ascii="Times New Roman" w:hAnsi="Times New Roman" w:cs="Times New Roman"/>
          <w:sz w:val="24"/>
          <w:szCs w:val="24"/>
          <w:lang w:eastAsia="lt-LT"/>
        </w:rPr>
        <w:t xml:space="preserve"> vaiko tėvų sutikimo nereikalaujama, jeigu tėvai yra nežinomi ar mirę, jeigu tėvams neterminuotai apribota tėvų valdžia arba jeigu tėvai paskelbti mirusiais</w:t>
      </w:r>
      <w:r w:rsidR="003D1D2C">
        <w:rPr>
          <w:rFonts w:ascii="Times New Roman" w:hAnsi="Times New Roman" w:cs="Times New Roman"/>
          <w:sz w:val="24"/>
          <w:szCs w:val="24"/>
          <w:lang w:eastAsia="lt-LT"/>
        </w:rPr>
        <w:t>, tačiau atvejai, kai tėvai ar vienintelis iš tėvų pripažinti nežinia kur esančiais nenurodyti</w:t>
      </w:r>
      <w:r w:rsidR="00E43689" w:rsidRPr="003D1D2C">
        <w:rPr>
          <w:rFonts w:ascii="Times New Roman" w:hAnsi="Times New Roman" w:cs="Times New Roman"/>
          <w:sz w:val="24"/>
          <w:szCs w:val="24"/>
          <w:lang w:eastAsia="lt-LT"/>
        </w:rPr>
        <w:t>. Be to, pripažinimas nežinia kur esančiu ir paskelbimas mirusiu sukelia skirtingas teisines pasekmes. Asmens pripažinimo nežinia kur esančiu atveju asmeniui garantuojama jo turtinių teisių apsauga, skiriamas turto administratorius (Civilinio kodekso 2.29 straipsnis)</w:t>
      </w:r>
      <w:r w:rsidR="006004FA" w:rsidRPr="003D1D2C">
        <w:rPr>
          <w:rFonts w:ascii="Times New Roman" w:hAnsi="Times New Roman" w:cs="Times New Roman"/>
          <w:sz w:val="24"/>
          <w:szCs w:val="24"/>
          <w:lang w:eastAsia="lt-LT"/>
        </w:rPr>
        <w:t xml:space="preserve">, kreipiantis į teismą dėl asmens pripažinimo nežinia kur esančiu turi būti pateikiami duomenys apie asmens </w:t>
      </w:r>
      <w:r w:rsidR="006004FA" w:rsidRPr="003D1D2C">
        <w:rPr>
          <w:rFonts w:ascii="Times New Roman" w:hAnsi="Times New Roman" w:cs="Times New Roman"/>
          <w:sz w:val="24"/>
          <w:szCs w:val="24"/>
        </w:rPr>
        <w:t>išlaikytinius (Civilinio proceso kodekso 455 straipsnio 6 punktas)</w:t>
      </w:r>
      <w:r w:rsidR="003D1D2C">
        <w:rPr>
          <w:rFonts w:ascii="Times New Roman" w:hAnsi="Times New Roman" w:cs="Times New Roman"/>
          <w:sz w:val="24"/>
          <w:szCs w:val="24"/>
        </w:rPr>
        <w:t>, todėl, įvertinant aplinkybę dėl turtinių teisių apsaugos, asmeninių tėvų teisių atėmimas (vaiko įvaikinimas), įvertinant įvaikinimo sukeliamas teisines pasekmes, laikytinas</w:t>
      </w:r>
      <w:r w:rsidR="00F21C4B">
        <w:rPr>
          <w:rFonts w:ascii="Times New Roman" w:hAnsi="Times New Roman" w:cs="Times New Roman"/>
          <w:sz w:val="24"/>
          <w:szCs w:val="24"/>
        </w:rPr>
        <w:t xml:space="preserve"> nepagrįstu ir neproporcingu</w:t>
      </w:r>
      <w:r w:rsidR="00E919EB">
        <w:rPr>
          <w:rFonts w:ascii="Times New Roman" w:hAnsi="Times New Roman" w:cs="Times New Roman"/>
          <w:sz w:val="24"/>
          <w:szCs w:val="24"/>
        </w:rPr>
        <w:t>.</w:t>
      </w:r>
    </w:p>
    <w:p w14:paraId="061398FA" w14:textId="1D7B472A" w:rsidR="00C970FE" w:rsidRDefault="00F21C4B" w:rsidP="00C970F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</w:t>
      </w:r>
      <w:r w:rsidR="00757B4F">
        <w:rPr>
          <w:rFonts w:ascii="Times New Roman" w:hAnsi="Times New Roman" w:cs="Times New Roman"/>
          <w:sz w:val="24"/>
          <w:szCs w:val="24"/>
        </w:rPr>
        <w:t>ūlytina t</w:t>
      </w:r>
      <w:r>
        <w:rPr>
          <w:rFonts w:ascii="Times New Roman" w:hAnsi="Times New Roman" w:cs="Times New Roman"/>
          <w:sz w:val="24"/>
          <w:szCs w:val="24"/>
        </w:rPr>
        <w:t xml:space="preserve">ikslinti Projekto </w:t>
      </w:r>
      <w:r w:rsidR="00757B4F">
        <w:rPr>
          <w:rFonts w:ascii="Times New Roman" w:hAnsi="Times New Roman" w:cs="Times New Roman"/>
          <w:sz w:val="24"/>
          <w:szCs w:val="24"/>
        </w:rPr>
        <w:t>5.5 – 5</w:t>
      </w:r>
      <w:r w:rsidR="00C970FE">
        <w:rPr>
          <w:rFonts w:ascii="Times New Roman" w:hAnsi="Times New Roman" w:cs="Times New Roman"/>
          <w:sz w:val="24"/>
          <w:szCs w:val="24"/>
        </w:rPr>
        <w:t>.</w:t>
      </w:r>
      <w:r w:rsidR="00757B4F">
        <w:rPr>
          <w:rFonts w:ascii="Times New Roman" w:hAnsi="Times New Roman" w:cs="Times New Roman"/>
          <w:sz w:val="24"/>
          <w:szCs w:val="24"/>
        </w:rPr>
        <w:t>7</w:t>
      </w:r>
      <w:r w:rsidR="00C970FE">
        <w:rPr>
          <w:rFonts w:ascii="Times New Roman" w:hAnsi="Times New Roman" w:cs="Times New Roman"/>
          <w:sz w:val="24"/>
          <w:szCs w:val="24"/>
        </w:rPr>
        <w:t>, 6</w:t>
      </w:r>
      <w:r w:rsidR="00757B4F">
        <w:rPr>
          <w:rFonts w:ascii="Times New Roman" w:hAnsi="Times New Roman" w:cs="Times New Roman"/>
          <w:sz w:val="24"/>
          <w:szCs w:val="24"/>
        </w:rPr>
        <w:t xml:space="preserve"> punktų formuluotes, išbraukiant žodžių junginį „kuriame nurodomi Civilinio proceso kodekso 488 straipsnio 2 dalyje nurodyti duomenys“. </w:t>
      </w:r>
      <w:r w:rsidR="009641C8">
        <w:rPr>
          <w:rFonts w:ascii="Times New Roman" w:hAnsi="Times New Roman" w:cs="Times New Roman"/>
          <w:sz w:val="24"/>
          <w:szCs w:val="24"/>
        </w:rPr>
        <w:t>Projekto reguliavimo kontekste šis žodžių junginys laikytinas pertekliniu, nes</w:t>
      </w:r>
      <w:r w:rsidR="00757B4F">
        <w:rPr>
          <w:rFonts w:ascii="Times New Roman" w:hAnsi="Times New Roman" w:cs="Times New Roman"/>
          <w:sz w:val="24"/>
          <w:szCs w:val="24"/>
        </w:rPr>
        <w:t xml:space="preserve"> Civilinio proceso kodekso 488 straipsnio 2 dalyje </w:t>
      </w:r>
      <w:r w:rsidR="009641C8">
        <w:rPr>
          <w:rFonts w:ascii="Times New Roman" w:hAnsi="Times New Roman" w:cs="Times New Roman"/>
          <w:sz w:val="24"/>
          <w:szCs w:val="24"/>
        </w:rPr>
        <w:t>nustatyti reikalavimai pareiškimui</w:t>
      </w:r>
      <w:r w:rsidR="00C970FE">
        <w:rPr>
          <w:rFonts w:ascii="Times New Roman" w:hAnsi="Times New Roman" w:cs="Times New Roman"/>
          <w:sz w:val="24"/>
          <w:szCs w:val="24"/>
        </w:rPr>
        <w:t xml:space="preserve"> </w:t>
      </w:r>
      <w:r w:rsidR="00C970FE" w:rsidRPr="00C970FE">
        <w:rPr>
          <w:rFonts w:ascii="Times New Roman" w:hAnsi="Times New Roman" w:cs="Times New Roman"/>
          <w:sz w:val="24"/>
          <w:szCs w:val="24"/>
        </w:rPr>
        <w:t>dėl sutikimo įvaikinti patvirtinimo,</w:t>
      </w:r>
      <w:r w:rsidR="00C970FE">
        <w:rPr>
          <w:rFonts w:ascii="Times New Roman" w:hAnsi="Times New Roman" w:cs="Times New Roman"/>
          <w:sz w:val="24"/>
          <w:szCs w:val="24"/>
        </w:rPr>
        <w:t xml:space="preserve"> kuris</w:t>
      </w:r>
      <w:r w:rsidR="00C970FE" w:rsidRPr="00C970FE">
        <w:rPr>
          <w:rFonts w:ascii="Times New Roman" w:hAnsi="Times New Roman" w:cs="Times New Roman"/>
          <w:i/>
          <w:iCs/>
          <w:sz w:val="24"/>
          <w:szCs w:val="24"/>
        </w:rPr>
        <w:t xml:space="preserve"> paduodamas teismui</w:t>
      </w:r>
      <w:r w:rsidR="009641C8">
        <w:rPr>
          <w:rFonts w:ascii="Times New Roman" w:hAnsi="Times New Roman" w:cs="Times New Roman"/>
          <w:sz w:val="24"/>
          <w:szCs w:val="24"/>
        </w:rPr>
        <w:t xml:space="preserve"> </w:t>
      </w:r>
      <w:r w:rsidR="00C970FE">
        <w:rPr>
          <w:rFonts w:ascii="Times New Roman" w:hAnsi="Times New Roman" w:cs="Times New Roman"/>
          <w:sz w:val="24"/>
          <w:szCs w:val="24"/>
        </w:rPr>
        <w:t>ir tik teismas turi prerogatyvą spręsti dėl pateiktų duomenų pakankamumo ir /ar atitikties įstatymo reikalavimams.</w:t>
      </w:r>
    </w:p>
    <w:p w14:paraId="4ABB6310" w14:textId="08FCB01E" w:rsidR="00C970FE" w:rsidRDefault="00EF14C8" w:rsidP="00C970F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3.Tikslinti Projekto 10.13 punkto formuluotę dalyje dėl psichotropinių medžiagų (ne)vartojimo.</w:t>
      </w:r>
    </w:p>
    <w:p w14:paraId="60FD2AFD" w14:textId="51803910" w:rsidR="00EF14C8" w:rsidRDefault="00EF14C8" w:rsidP="00C970FE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Pažymėtina, kad Tarptautiniame ligų klasifikatoriuje </w:t>
      </w:r>
      <w:r w:rsidR="0078675F">
        <w:rPr>
          <w:rFonts w:ascii="Times New Roman" w:hAnsi="Times New Roman" w:cs="Times New Roman"/>
          <w:sz w:val="24"/>
          <w:szCs w:val="24"/>
        </w:rPr>
        <w:t>(</w:t>
      </w:r>
      <w:hyperlink r:id="rId6" w:tooltip="TLK-10-AM sisteminis ligų sąrašas" w:history="1">
        <w:r w:rsidR="0078675F" w:rsidRPr="0078675F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TLK-10-AM sisteminis ligų sąrašas</w:t>
        </w:r>
      </w:hyperlink>
      <w:r w:rsidR="0078675F">
        <w:rPr>
          <w:rFonts w:ascii="Times New Roman" w:hAnsi="Times New Roman" w:cs="Times New Roman"/>
          <w:sz w:val="24"/>
          <w:szCs w:val="24"/>
        </w:rPr>
        <w:t>) ir kituose dokumentuose vartojama sąvoka „psichoaktyviosios medžiagos“, o priklausomybės (išskiriant ją pagal vartojamų psichoaktyviųjų medžiagų rūšis) yra žymimos atitinkamais ligų kodais</w:t>
      </w:r>
      <w:r w:rsidR="00EF4359">
        <w:rPr>
          <w:rFonts w:ascii="Times New Roman" w:hAnsi="Times New Roman" w:cs="Times New Roman"/>
          <w:sz w:val="24"/>
          <w:szCs w:val="24"/>
        </w:rPr>
        <w:t xml:space="preserve">(F10 – F-11) ir nurodomos </w:t>
      </w:r>
      <w:r w:rsidR="0078675F">
        <w:rPr>
          <w:rFonts w:ascii="Times New Roman" w:hAnsi="Times New Roman" w:cs="Times New Roman"/>
          <w:sz w:val="24"/>
          <w:szCs w:val="24"/>
        </w:rPr>
        <w:t>kaip diagnozės</w:t>
      </w:r>
      <w:r w:rsidR="00EF43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FAE90" w14:textId="63134499" w:rsidR="006C3EB9" w:rsidRDefault="00EF4359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pati pastaba taikytina Projekto </w:t>
      </w:r>
      <w:r>
        <w:rPr>
          <w:rFonts w:ascii="Times New Roman" w:eastAsia="Calibri" w:hAnsi="Times New Roman" w:cs="Times New Roman"/>
          <w:sz w:val="24"/>
          <w:szCs w:val="24"/>
        </w:rPr>
        <w:t>12.3 punktui.</w:t>
      </w:r>
    </w:p>
    <w:p w14:paraId="489E4934" w14:textId="77777777" w:rsidR="007C17A6" w:rsidRDefault="00EF4359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C17A6">
        <w:rPr>
          <w:rFonts w:ascii="Times New Roman" w:eastAsia="Calibri" w:hAnsi="Times New Roman" w:cs="Times New Roman"/>
          <w:sz w:val="24"/>
          <w:szCs w:val="24"/>
        </w:rPr>
        <w:t xml:space="preserve">Suderinti (suvienodinti) </w:t>
      </w:r>
      <w:r>
        <w:rPr>
          <w:rFonts w:ascii="Times New Roman" w:eastAsia="Calibri" w:hAnsi="Times New Roman" w:cs="Times New Roman"/>
          <w:sz w:val="24"/>
          <w:szCs w:val="24"/>
        </w:rPr>
        <w:t>Projekto 15</w:t>
      </w:r>
      <w:r w:rsidR="007C17A6">
        <w:rPr>
          <w:rFonts w:ascii="Times New Roman" w:eastAsia="Calibri" w:hAnsi="Times New Roman" w:cs="Times New Roman"/>
          <w:sz w:val="24"/>
          <w:szCs w:val="24"/>
        </w:rPr>
        <w:t xml:space="preserve">, 16.1, 17.6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punkt</w:t>
      </w:r>
      <w:r w:rsidR="007C17A6">
        <w:rPr>
          <w:rFonts w:ascii="Times New Roman" w:eastAsia="Calibri" w:hAnsi="Times New Roman" w:cs="Times New Roman"/>
          <w:sz w:val="24"/>
          <w:szCs w:val="24"/>
        </w:rPr>
        <w:t xml:space="preserve">uose vartojamas sąvokas, nes 15 punkte nustatytas komisijos pritarimas, o 16.1 ir 17.6 punktuose  – rekomendacija. </w:t>
      </w:r>
    </w:p>
    <w:p w14:paraId="59CDB55D" w14:textId="3004E5C7" w:rsidR="007C17A6" w:rsidRDefault="007C17A6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EF1">
        <w:rPr>
          <w:rFonts w:ascii="Times New Roman" w:eastAsia="Calibri" w:hAnsi="Times New Roman" w:cs="Times New Roman"/>
          <w:sz w:val="24"/>
          <w:szCs w:val="24"/>
        </w:rPr>
        <w:t xml:space="preserve">5. Tikslinti Projekto 16.1 punkto formuluotę, aiškiai apibrėžiant </w:t>
      </w:r>
      <w:r w:rsidR="00943EF1" w:rsidRPr="00943EF1">
        <w:rPr>
          <w:rFonts w:ascii="Times New Roman" w:eastAsia="Calibri" w:hAnsi="Times New Roman" w:cs="Times New Roman"/>
          <w:sz w:val="24"/>
          <w:szCs w:val="24"/>
        </w:rPr>
        <w:t>(nustatant) kas Tarnyboje priima sprendimą</w:t>
      </w:r>
      <w:r w:rsidR="00943EF1" w:rsidRPr="00943EF1">
        <w:rPr>
          <w:rFonts w:ascii="Times New Roman" w:hAnsi="Times New Roman" w:cs="Times New Roman"/>
          <w:sz w:val="24"/>
          <w:szCs w:val="24"/>
        </w:rPr>
        <w:t xml:space="preserve"> įrašyti vaiką į Galimų įvaikinti vaikų, atitinkančių specialiuosius kriterijus, sąrašą ir nustatyti kaip toks sprendimas įforminamas.</w:t>
      </w:r>
    </w:p>
    <w:p w14:paraId="46EFCF6C" w14:textId="598632A0" w:rsidR="00943EF1" w:rsidRDefault="00943EF1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pati pastaba taikytina ir Projekto 16.3 punktui</w:t>
      </w:r>
      <w:r w:rsidR="00D056FC">
        <w:rPr>
          <w:rFonts w:ascii="Times New Roman" w:hAnsi="Times New Roman" w:cs="Times New Roman"/>
          <w:sz w:val="24"/>
          <w:szCs w:val="24"/>
        </w:rPr>
        <w:t>.</w:t>
      </w:r>
    </w:p>
    <w:p w14:paraId="0C50F99F" w14:textId="377673B8" w:rsidR="00D056FC" w:rsidRPr="00943EF1" w:rsidRDefault="00D056FC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Siekiant užtikrinti įvaikinimo proceso skaidrumą, galimų įvaikinti vaikų, atitinkančių specialiuosius kriterijus, apskaitos tikslus, siūlytina atsisakyti Projekto 16.2 punkte siūlomo reglamentavimo.</w:t>
      </w:r>
      <w:r w:rsidR="004F431D">
        <w:rPr>
          <w:rFonts w:ascii="Times New Roman" w:hAnsi="Times New Roman" w:cs="Times New Roman"/>
          <w:sz w:val="24"/>
          <w:szCs w:val="24"/>
        </w:rPr>
        <w:t xml:space="preserve"> Atkreiptinas dėmesys, kad 16.2 punkto nuostatomis siūloma įteisinti tarptautinį įvaikinimą vaikų,</w:t>
      </w:r>
      <w:r w:rsidR="007057BB">
        <w:rPr>
          <w:rFonts w:ascii="Times New Roman" w:hAnsi="Times New Roman" w:cs="Times New Roman"/>
          <w:sz w:val="24"/>
          <w:szCs w:val="24"/>
        </w:rPr>
        <w:t xml:space="preserve"> neatitinkančių speciali</w:t>
      </w:r>
      <w:r w:rsidR="0025027E">
        <w:rPr>
          <w:rFonts w:ascii="Times New Roman" w:hAnsi="Times New Roman" w:cs="Times New Roman"/>
          <w:sz w:val="24"/>
          <w:szCs w:val="24"/>
        </w:rPr>
        <w:t>ųjų kriterijų, taip pat vaikų paiešką potencialiems įtėviams, o ne įtėvių vaikams, įrašytiems</w:t>
      </w:r>
      <w:r w:rsidR="004F431D">
        <w:rPr>
          <w:rFonts w:ascii="Times New Roman" w:hAnsi="Times New Roman" w:cs="Times New Roman"/>
          <w:sz w:val="24"/>
          <w:szCs w:val="24"/>
        </w:rPr>
        <w:t xml:space="preserve"> į galimų įvaikinti vaikų, atitinkančių specialiuosius kriterijus, apskaitą</w:t>
      </w:r>
      <w:r w:rsidR="0025027E">
        <w:rPr>
          <w:rFonts w:ascii="Times New Roman" w:hAnsi="Times New Roman" w:cs="Times New Roman"/>
          <w:sz w:val="24"/>
          <w:szCs w:val="24"/>
        </w:rPr>
        <w:t>, paiešką</w:t>
      </w:r>
      <w:r w:rsidR="004F431D">
        <w:rPr>
          <w:rFonts w:ascii="Times New Roman" w:hAnsi="Times New Roman" w:cs="Times New Roman"/>
          <w:sz w:val="24"/>
          <w:szCs w:val="24"/>
        </w:rPr>
        <w:t>. Toks siūlymas taip pat leidžia daryti prielaidą, kad gali būti formuojama (yra susiformavusi</w:t>
      </w:r>
      <w:r w:rsidR="0025027E">
        <w:rPr>
          <w:rFonts w:ascii="Times New Roman" w:hAnsi="Times New Roman" w:cs="Times New Roman"/>
          <w:sz w:val="24"/>
          <w:szCs w:val="24"/>
        </w:rPr>
        <w:t xml:space="preserve"> ir siekiama įteisinti</w:t>
      </w:r>
      <w:r w:rsidR="004F431D">
        <w:rPr>
          <w:rFonts w:ascii="Times New Roman" w:hAnsi="Times New Roman" w:cs="Times New Roman"/>
          <w:sz w:val="24"/>
          <w:szCs w:val="24"/>
        </w:rPr>
        <w:t xml:space="preserve">) praktika, kai </w:t>
      </w:r>
      <w:r w:rsidR="007057BB">
        <w:rPr>
          <w:rFonts w:ascii="Times New Roman" w:hAnsi="Times New Roman" w:cs="Times New Roman"/>
          <w:sz w:val="24"/>
          <w:szCs w:val="24"/>
        </w:rPr>
        <w:t>tarptautiniam įvaikinimui yra siūlomi vaikai, neįrašyti į aukščiau paminėtą sąrašą  ir neatitinkantys tarptautinio įvaikinimo (specialiųjų kriterijų) sąlygų.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76F59" w14:textId="0CD7739D" w:rsidR="007C17A6" w:rsidRDefault="0025027E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Siūlytina papildyti Projekto 17 punktą nauju papunkčiu, nustatant</w:t>
      </w:r>
      <w:r w:rsidR="00553A2C">
        <w:rPr>
          <w:rFonts w:ascii="Times New Roman" w:eastAsia="Calibri" w:hAnsi="Times New Roman" w:cs="Times New Roman"/>
          <w:sz w:val="24"/>
          <w:szCs w:val="24"/>
        </w:rPr>
        <w:t>, jog vaiko byloje turėtų būti ir sprendimas, nurodytas Projekto 16.1 punkte.</w:t>
      </w:r>
    </w:p>
    <w:p w14:paraId="407B03E9" w14:textId="30D0ED40" w:rsidR="00553A2C" w:rsidRDefault="00553A2C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Tikslinti Projekto 19 punkto formuluotę, nurodant kas konkrečiai priima šiame punkte nurodytą sprendimą ir kaip jis įforminamas.</w:t>
      </w:r>
    </w:p>
    <w:p w14:paraId="5A2A833A" w14:textId="776CFA54" w:rsidR="00553A2C" w:rsidRDefault="00553A2C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pati pastaba taikytina Projekto 23, 31 punktams.</w:t>
      </w:r>
    </w:p>
    <w:p w14:paraId="07482E4C" w14:textId="77777777" w:rsidR="007C17A6" w:rsidRDefault="007C17A6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5A840" w14:textId="03B65CB5" w:rsidR="007C17A6" w:rsidRDefault="007C17A6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F36D7" w14:textId="74458D1A" w:rsidR="00553A2C" w:rsidRDefault="00553A2C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313B6" w14:textId="77777777" w:rsidR="00553A2C" w:rsidRDefault="00553A2C" w:rsidP="00EF4359">
      <w:pPr>
        <w:numPr>
          <w:ilvl w:val="12"/>
          <w:numId w:val="0"/>
        </w:num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ADD39" w14:textId="7B9E51D5" w:rsidR="003B7342" w:rsidRPr="003B7342" w:rsidRDefault="00553A2C" w:rsidP="003B7342">
      <w:pPr>
        <w:tabs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B7342" w:rsidRPr="003B7342">
        <w:rPr>
          <w:rFonts w:ascii="Times New Roman" w:eastAsia="Times New Roman" w:hAnsi="Times New Roman" w:cs="Times New Roman"/>
          <w:sz w:val="24"/>
          <w:szCs w:val="24"/>
        </w:rPr>
        <w:t>aiko teisių apsaugos kontrolierė</w:t>
      </w:r>
      <w:r w:rsidR="003B7342" w:rsidRPr="003B7342">
        <w:rPr>
          <w:rFonts w:ascii="Times New Roman" w:eastAsia="Times New Roman" w:hAnsi="Times New Roman" w:cs="Times New Roman"/>
          <w:sz w:val="24"/>
          <w:szCs w:val="24"/>
        </w:rPr>
        <w:tab/>
        <w:t xml:space="preserve">Edita </w:t>
      </w:r>
      <w:proofErr w:type="spellStart"/>
      <w:r w:rsidR="003B7342" w:rsidRPr="003B7342">
        <w:rPr>
          <w:rFonts w:ascii="Times New Roman" w:eastAsia="Times New Roman" w:hAnsi="Times New Roman" w:cs="Times New Roman"/>
          <w:sz w:val="24"/>
          <w:szCs w:val="24"/>
        </w:rPr>
        <w:t>Žiobienė</w:t>
      </w:r>
      <w:proofErr w:type="spellEnd"/>
    </w:p>
    <w:p w14:paraId="2D85B38B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107F76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F6A1E4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AD815E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48CF50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1F3BD2" w14:textId="10B79A98" w:rsid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B26D71" w14:textId="4E1D790B" w:rsidR="00553A2C" w:rsidRDefault="00553A2C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B97189" w14:textId="77777777" w:rsidR="00553A2C" w:rsidRPr="003B7342" w:rsidRDefault="00553A2C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246BB35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88CAE1" w14:textId="77777777" w:rsidR="003B7342" w:rsidRPr="003B7342" w:rsidRDefault="003B7342" w:rsidP="003B7342">
      <w:pPr>
        <w:tabs>
          <w:tab w:val="left" w:pos="7371"/>
          <w:tab w:val="left" w:pos="8080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DBDF80" w14:textId="12DCA70C" w:rsidR="003B7342" w:rsidRDefault="003B7342" w:rsidP="003B73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6013121" w14:textId="66C69A8C" w:rsidR="00553A2C" w:rsidRDefault="00553A2C" w:rsidP="003B73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C23EBB6" w14:textId="77777777" w:rsidR="00553A2C" w:rsidRPr="003B7342" w:rsidRDefault="00553A2C" w:rsidP="003B734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05F6946" w14:textId="4757EAEF" w:rsidR="003320C4" w:rsidRPr="00553A2C" w:rsidRDefault="003B7342" w:rsidP="00553A2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3B7342">
        <w:rPr>
          <w:rFonts w:ascii="Times New Roman" w:eastAsia="Times New Roman" w:hAnsi="Times New Roman" w:cs="Times New Roman"/>
        </w:rPr>
        <w:t xml:space="preserve">Eivilė Žemaitytė, tel. (8 5) 210 7175, el. paštas </w:t>
      </w:r>
      <w:proofErr w:type="spellStart"/>
      <w:r w:rsidRPr="003B7342">
        <w:rPr>
          <w:rFonts w:ascii="Times New Roman" w:eastAsia="Times New Roman" w:hAnsi="Times New Roman" w:cs="Times New Roman"/>
        </w:rPr>
        <w:t>eivile.zemaityte@vtaki.l</w:t>
      </w:r>
      <w:proofErr w:type="spellEnd"/>
    </w:p>
    <w:sectPr w:rsidR="003320C4" w:rsidRPr="00553A2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702" w:right="624" w:bottom="1134" w:left="1701" w:header="113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6774" w14:textId="77777777" w:rsidR="00647BFD" w:rsidRDefault="00647BFD" w:rsidP="00642DCF">
      <w:pPr>
        <w:spacing w:after="0" w:line="240" w:lineRule="auto"/>
      </w:pPr>
      <w:r>
        <w:separator/>
      </w:r>
    </w:p>
  </w:endnote>
  <w:endnote w:type="continuationSeparator" w:id="0">
    <w:p w14:paraId="50FF47F6" w14:textId="77777777" w:rsidR="00647BFD" w:rsidRDefault="00647BFD" w:rsidP="0064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0"/>
      <w:gridCol w:w="2247"/>
      <w:gridCol w:w="3222"/>
      <w:gridCol w:w="1663"/>
    </w:tblGrid>
    <w:tr w:rsidR="005166E4" w14:paraId="79DA3A1D" w14:textId="77777777">
      <w:trPr>
        <w:trHeight w:val="260"/>
      </w:trPr>
      <w:tc>
        <w:tcPr>
          <w:tcW w:w="24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7141550" w14:textId="77777777" w:rsidR="005166E4" w:rsidRDefault="00647BFD">
          <w:pPr>
            <w:pStyle w:val="Porat"/>
            <w:rPr>
              <w:sz w:val="16"/>
            </w:rPr>
          </w:pPr>
        </w:p>
      </w:tc>
      <w:tc>
        <w:tcPr>
          <w:tcW w:w="22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827D72" w14:textId="77777777" w:rsidR="005166E4" w:rsidRDefault="00647BFD">
          <w:pPr>
            <w:pStyle w:val="Porat"/>
            <w:rPr>
              <w:sz w:val="16"/>
            </w:rPr>
          </w:pPr>
        </w:p>
      </w:tc>
      <w:tc>
        <w:tcPr>
          <w:tcW w:w="3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136106" w14:textId="77777777" w:rsidR="005166E4" w:rsidRDefault="00647BFD">
          <w:pPr>
            <w:pStyle w:val="Porat"/>
            <w:rPr>
              <w:sz w:val="16"/>
            </w:rPr>
          </w:pPr>
        </w:p>
      </w:tc>
      <w:tc>
        <w:tcPr>
          <w:tcW w:w="16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7DD827" w14:textId="77777777" w:rsidR="005166E4" w:rsidRDefault="00647BFD">
          <w:pPr>
            <w:pStyle w:val="Porat"/>
            <w:jc w:val="center"/>
            <w:rPr>
              <w:sz w:val="16"/>
            </w:rPr>
          </w:pPr>
        </w:p>
      </w:tc>
    </w:tr>
  </w:tbl>
  <w:p w14:paraId="43F4700F" w14:textId="77777777" w:rsidR="005166E4" w:rsidRDefault="00647BFD">
    <w:pPr>
      <w:pStyle w:val="Por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7C19" w14:textId="77777777" w:rsidR="005166E4" w:rsidRDefault="00647BFD"/>
  <w:tbl>
    <w:tblPr>
      <w:tblW w:w="114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08"/>
      <w:gridCol w:w="1695"/>
    </w:tblGrid>
    <w:tr w:rsidR="005166E4" w:rsidRPr="0066195F" w14:paraId="205CFAA1" w14:textId="77777777">
      <w:trPr>
        <w:cantSplit/>
        <w:trHeight w:val="260"/>
      </w:trPr>
      <w:tc>
        <w:tcPr>
          <w:tcW w:w="97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2593FD" w14:textId="77777777" w:rsidR="005166E4" w:rsidRPr="0066195F" w:rsidRDefault="00392EB1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66195F">
            <w:rPr>
              <w:rFonts w:ascii="Times New Roman" w:hAnsi="Times New Roman" w:cs="Times New Roman"/>
              <w:sz w:val="18"/>
            </w:rPr>
            <w:t xml:space="preserve">Biudžetinė įstaiga, Plačioji g. 10, LT-01308  Vilnius, tel. (8-5) 210 7176, faks. </w:t>
          </w:r>
          <w:r w:rsidRPr="0066195F">
            <w:rPr>
              <w:rFonts w:ascii="Times New Roman" w:hAnsi="Times New Roman" w:cs="Times New Roman"/>
              <w:sz w:val="18"/>
              <w:szCs w:val="18"/>
            </w:rPr>
            <w:t>(8-5) 265 7960,</w:t>
          </w:r>
          <w:r w:rsidRPr="0066195F">
            <w:rPr>
              <w:rFonts w:ascii="Times New Roman" w:hAnsi="Times New Roman" w:cs="Times New Roman"/>
              <w:sz w:val="18"/>
            </w:rPr>
            <w:t xml:space="preserve"> el. paštas: </w:t>
          </w:r>
          <w:hyperlink r:id="rId1" w:history="1">
            <w:r w:rsidRPr="0066195F">
              <w:rPr>
                <w:rStyle w:val="Hipersaitas"/>
                <w:rFonts w:ascii="Times New Roman" w:hAnsi="Times New Roman" w:cs="Times New Roman"/>
                <w:color w:val="auto"/>
                <w:sz w:val="18"/>
              </w:rPr>
              <w:t>vtaki@vtaki.lt</w:t>
            </w:r>
          </w:hyperlink>
        </w:p>
        <w:p w14:paraId="7BAB20A1" w14:textId="77777777" w:rsidR="005166E4" w:rsidRPr="0066195F" w:rsidRDefault="00392EB1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66195F">
            <w:rPr>
              <w:rFonts w:ascii="Times New Roman" w:hAnsi="Times New Roman" w:cs="Times New Roman"/>
              <w:sz w:val="18"/>
            </w:rPr>
            <w:t>Duomenys kaupiami ir saugomi Juridinių asmenų registre, kodas 188755327</w:t>
          </w:r>
        </w:p>
        <w:p w14:paraId="6F0FCAE1" w14:textId="77777777" w:rsidR="005166E4" w:rsidRPr="0066195F" w:rsidRDefault="00647BFD">
          <w:pPr>
            <w:pStyle w:val="Porat"/>
            <w:tabs>
              <w:tab w:val="left" w:pos="1812"/>
              <w:tab w:val="left" w:pos="2592"/>
              <w:tab w:val="left" w:pos="3888"/>
              <w:tab w:val="left" w:pos="5184"/>
              <w:tab w:val="left" w:pos="6480"/>
            </w:tabs>
            <w:rPr>
              <w:sz w:val="18"/>
            </w:rPr>
          </w:pPr>
        </w:p>
      </w:tc>
      <w:tc>
        <w:tcPr>
          <w:tcW w:w="169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E70675" w14:textId="77777777" w:rsidR="005166E4" w:rsidRPr="0066195F" w:rsidRDefault="00647BFD">
          <w:pPr>
            <w:pStyle w:val="Porat"/>
            <w:ind w:left="-1126" w:hanging="240"/>
            <w:rPr>
              <w:sz w:val="18"/>
            </w:rPr>
          </w:pPr>
        </w:p>
        <w:p w14:paraId="78EFA5EB" w14:textId="77777777" w:rsidR="005166E4" w:rsidRPr="0066195F" w:rsidRDefault="00647BFD">
          <w:pPr>
            <w:pStyle w:val="Porat"/>
            <w:ind w:left="-1126" w:hanging="240"/>
            <w:rPr>
              <w:sz w:val="18"/>
            </w:rPr>
          </w:pPr>
        </w:p>
        <w:p w14:paraId="1CBD2C66" w14:textId="77777777" w:rsidR="005166E4" w:rsidRPr="0066195F" w:rsidRDefault="00647BFD">
          <w:pPr>
            <w:pStyle w:val="Porat"/>
            <w:ind w:left="-1126" w:hanging="240"/>
            <w:rPr>
              <w:sz w:val="18"/>
            </w:rPr>
          </w:pPr>
        </w:p>
      </w:tc>
    </w:tr>
  </w:tbl>
  <w:p w14:paraId="2A07C775" w14:textId="77777777" w:rsidR="005166E4" w:rsidRDefault="00392EB1">
    <w:pPr>
      <w:pStyle w:val="Porat"/>
      <w:rPr>
        <w:sz w:val="18"/>
        <w:lang w:val="fr-FR"/>
      </w:rPr>
    </w:pPr>
    <w:r>
      <w:rPr>
        <w:sz w:val="18"/>
        <w:lang w:val="fr-FR"/>
      </w:rPr>
      <w:tab/>
    </w:r>
    <w:r>
      <w:rPr>
        <w:sz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CAAE" w14:textId="77777777" w:rsidR="00647BFD" w:rsidRDefault="00647BFD" w:rsidP="00642DCF">
      <w:pPr>
        <w:spacing w:after="0" w:line="240" w:lineRule="auto"/>
      </w:pPr>
      <w:r>
        <w:separator/>
      </w:r>
    </w:p>
  </w:footnote>
  <w:footnote w:type="continuationSeparator" w:id="0">
    <w:p w14:paraId="3BD1F0DC" w14:textId="77777777" w:rsidR="00647BFD" w:rsidRDefault="00647BFD" w:rsidP="0064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4F3C" w14:textId="77777777" w:rsidR="005166E4" w:rsidRDefault="00392EB1">
    <w:pPr>
      <w:pStyle w:val="Antrats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91BEF" wp14:editId="42D17C1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BE7BCA" w14:textId="77777777" w:rsidR="005166E4" w:rsidRDefault="00392EB1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  <w:noProof/>
                            </w:rPr>
                            <w:t>3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91B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00BE7BCA" w14:textId="77777777" w:rsidR="005166E4" w:rsidRDefault="00392EB1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  <w:noProof/>
                      </w:rPr>
                      <w:t>3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82"/>
    </w:tblGrid>
    <w:tr w:rsidR="005166E4" w14:paraId="39D50B78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1A0240" w14:textId="77777777" w:rsidR="005166E4" w:rsidRDefault="00392EB1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  <w:r>
            <w:rPr>
              <w:rFonts w:ascii="TimesLT" w:hAnsi="TimesLT"/>
            </w:rPr>
            <w:t>Originalas siunčiamas nebus</w:t>
          </w:r>
        </w:p>
      </w:tc>
    </w:tr>
    <w:bookmarkStart w:id="0" w:name="_MON_1064649012"/>
    <w:bookmarkEnd w:id="0"/>
    <w:bookmarkStart w:id="1" w:name="_MON_1064649033"/>
    <w:bookmarkEnd w:id="1"/>
    <w:tr w:rsidR="005166E4" w14:paraId="7019CF12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D25D99A" w14:textId="77777777" w:rsidR="005166E4" w:rsidRDefault="00392EB1">
          <w:pPr>
            <w:pStyle w:val="Antrats"/>
            <w:tabs>
              <w:tab w:val="center" w:pos="4900"/>
            </w:tabs>
            <w:jc w:val="center"/>
          </w:pPr>
          <w:r>
            <w:rPr>
              <w:rFonts w:ascii="TimesLT" w:hAnsi="TimesLT"/>
            </w:rPr>
            <w:object w:dxaOrig="825" w:dyaOrig="795" w14:anchorId="6FDCB2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1.25pt;height:39.75pt;visibility:visible">
                <v:imagedata r:id="rId1" o:title=""/>
              </v:shape>
              <o:OLEObject Type="Embed" ProgID="Word.Picture.8" ShapeID="Picture 1" DrawAspect="Content" ObjectID="_1713613961" r:id="rId2"/>
            </w:object>
          </w:r>
        </w:p>
      </w:tc>
    </w:tr>
    <w:tr w:rsidR="005166E4" w14:paraId="33F20018" w14:textId="77777777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29D57C" w14:textId="77777777" w:rsidR="005166E4" w:rsidRDefault="00392EB1">
          <w:pPr>
            <w:pStyle w:val="Antrats"/>
            <w:jc w:val="center"/>
            <w:rPr>
              <w:b/>
            </w:rPr>
          </w:pPr>
          <w:r>
            <w:rPr>
              <w:b/>
            </w:rPr>
            <w:t>LIETUVOS RESPUBLIKOS</w:t>
          </w:r>
        </w:p>
        <w:p w14:paraId="44EFB7E9" w14:textId="77777777" w:rsidR="005166E4" w:rsidRDefault="00392EB1">
          <w:pPr>
            <w:pStyle w:val="Antrats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VAIKO TEISIŲ APSAUGOS KONTROLIERIAUS ĮSTAIGA </w:t>
          </w:r>
        </w:p>
        <w:p w14:paraId="3B6F3286" w14:textId="77777777" w:rsidR="005166E4" w:rsidRDefault="00647BFD">
          <w:pPr>
            <w:pStyle w:val="Antrats"/>
            <w:jc w:val="center"/>
          </w:pPr>
        </w:p>
      </w:tc>
    </w:tr>
  </w:tbl>
  <w:p w14:paraId="65FA6226" w14:textId="77777777" w:rsidR="005166E4" w:rsidRDefault="00647BF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42"/>
    <w:rsid w:val="00150DA5"/>
    <w:rsid w:val="0025027E"/>
    <w:rsid w:val="003320C4"/>
    <w:rsid w:val="00392EB1"/>
    <w:rsid w:val="003B7342"/>
    <w:rsid w:val="003D1D2C"/>
    <w:rsid w:val="003D533A"/>
    <w:rsid w:val="004F431D"/>
    <w:rsid w:val="00553A2C"/>
    <w:rsid w:val="005C060F"/>
    <w:rsid w:val="006004FA"/>
    <w:rsid w:val="00642DCF"/>
    <w:rsid w:val="00647BFD"/>
    <w:rsid w:val="0066195F"/>
    <w:rsid w:val="006C3EB9"/>
    <w:rsid w:val="007057BB"/>
    <w:rsid w:val="00757B4F"/>
    <w:rsid w:val="0078675F"/>
    <w:rsid w:val="007B11AE"/>
    <w:rsid w:val="007C17A6"/>
    <w:rsid w:val="00943EF1"/>
    <w:rsid w:val="009641C8"/>
    <w:rsid w:val="009F298B"/>
    <w:rsid w:val="00B317CB"/>
    <w:rsid w:val="00C970FE"/>
    <w:rsid w:val="00D056FC"/>
    <w:rsid w:val="00D26BB4"/>
    <w:rsid w:val="00E43689"/>
    <w:rsid w:val="00E919EB"/>
    <w:rsid w:val="00EF14C8"/>
    <w:rsid w:val="00EF4359"/>
    <w:rsid w:val="00F028EA"/>
    <w:rsid w:val="00F21C4B"/>
    <w:rsid w:val="00F4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4814C"/>
  <w15:chartTrackingRefBased/>
  <w15:docId w15:val="{95035830-92BB-400A-9554-D27B4B7D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B7342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character" w:customStyle="1" w:styleId="AntratsDiagrama">
    <w:name w:val="Antraštės Diagrama"/>
    <w:basedOn w:val="Numatytasispastraiposriftas"/>
    <w:link w:val="Antrats"/>
    <w:rsid w:val="003B7342"/>
    <w:rPr>
      <w:rFonts w:ascii="Times New Roman" w:eastAsia="Calibri" w:hAnsi="Times New Roman" w:cs="Times New Roman"/>
      <w:sz w:val="24"/>
    </w:rPr>
  </w:style>
  <w:style w:type="paragraph" w:styleId="Porat">
    <w:name w:val="footer"/>
    <w:basedOn w:val="prastasis"/>
    <w:link w:val="PoratDiagrama"/>
    <w:rsid w:val="003B7342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</w:rPr>
  </w:style>
  <w:style w:type="character" w:customStyle="1" w:styleId="PoratDiagrama">
    <w:name w:val="Poraštė Diagrama"/>
    <w:basedOn w:val="Numatytasispastraiposriftas"/>
    <w:link w:val="Porat"/>
    <w:rsid w:val="003B7342"/>
    <w:rPr>
      <w:rFonts w:ascii="Times New Roman" w:eastAsia="Calibri" w:hAnsi="Times New Roman" w:cs="Times New Roman"/>
      <w:sz w:val="24"/>
    </w:rPr>
  </w:style>
  <w:style w:type="character" w:styleId="Puslapionumeris">
    <w:name w:val="page number"/>
    <w:basedOn w:val="Numatytasispastraiposriftas"/>
    <w:rsid w:val="003B7342"/>
  </w:style>
  <w:style w:type="character" w:styleId="Hipersaitas">
    <w:name w:val="Hyperlink"/>
    <w:basedOn w:val="Numatytasispastraiposriftas"/>
    <w:rsid w:val="003B7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.vlk.lt/e.vadovas/topic/lt.webmedia.vlk.drg.icd.ebook.content/html/icd/ivadas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taki@vtaki.l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Eivile Zemaityte</dc:creator>
  <cp:keywords/>
  <dc:description/>
  <cp:lastModifiedBy>Eivile Zemaityte</cp:lastModifiedBy>
  <cp:revision>3</cp:revision>
  <cp:lastPrinted>2022-05-09T10:25:00Z</cp:lastPrinted>
  <dcterms:created xsi:type="dcterms:W3CDTF">2022-05-04T13:00:00Z</dcterms:created>
  <dcterms:modified xsi:type="dcterms:W3CDTF">2022-05-09T10:24:00Z</dcterms:modified>
</cp:coreProperties>
</file>