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E4" w:rsidRPr="006D0CE4" w:rsidRDefault="006D0CE4" w:rsidP="006D0CE4">
      <w:pPr>
        <w:pStyle w:val="Sraopastraipa"/>
        <w:spacing w:after="0" w:line="240" w:lineRule="auto"/>
        <w:ind w:left="1069"/>
        <w:rPr>
          <w:b/>
          <w:szCs w:val="24"/>
        </w:rPr>
      </w:pPr>
      <w:bookmarkStart w:id="0" w:name="_GoBack"/>
      <w:r w:rsidRPr="006D0CE4">
        <w:rPr>
          <w:b/>
          <w:szCs w:val="24"/>
        </w:rPr>
        <w:t>Dėl savivaldybių administracijų struktūrinių padalinių, užtikrinančių vaiko teisių apsaugą</w:t>
      </w:r>
      <w:r w:rsidRPr="006D0CE4">
        <w:rPr>
          <w:b/>
          <w:szCs w:val="24"/>
        </w:rPr>
        <w:t>,</w:t>
      </w:r>
      <w:r w:rsidRPr="006D0CE4">
        <w:rPr>
          <w:b/>
          <w:szCs w:val="24"/>
        </w:rPr>
        <w:t xml:space="preserve"> pavaldumo</w:t>
      </w:r>
    </w:p>
    <w:bookmarkEnd w:id="0"/>
    <w:p w:rsidR="006D0CE4" w:rsidRPr="006D0CE4" w:rsidRDefault="006D0CE4" w:rsidP="006D0CE4">
      <w:pPr>
        <w:pStyle w:val="Sraopastraipa"/>
        <w:spacing w:after="0" w:line="240" w:lineRule="auto"/>
        <w:ind w:left="1069"/>
        <w:rPr>
          <w:b/>
          <w:szCs w:val="24"/>
        </w:rPr>
      </w:pPr>
    </w:p>
    <w:p w:rsidR="006D0CE4" w:rsidRPr="006D0CE4" w:rsidRDefault="006D0CE4" w:rsidP="006D0CE4">
      <w:pPr>
        <w:pStyle w:val="Sraopastraipa"/>
        <w:spacing w:after="0" w:line="240" w:lineRule="auto"/>
        <w:ind w:left="1069"/>
        <w:rPr>
          <w:szCs w:val="24"/>
        </w:rPr>
      </w:pPr>
    </w:p>
    <w:p w:rsidR="006D0CE4" w:rsidRPr="006D0CE4" w:rsidRDefault="006D0CE4" w:rsidP="006D0CE4">
      <w:pPr>
        <w:pStyle w:val="prastasiniatinklio"/>
        <w:shd w:val="clear" w:color="auto" w:fill="FFFFFF"/>
        <w:spacing w:before="0" w:after="0" w:line="240" w:lineRule="auto"/>
        <w:ind w:firstLine="709"/>
        <w:jc w:val="both"/>
        <w:rPr>
          <w:rFonts w:ascii="Times New Roman" w:eastAsia="Calibri" w:hAnsi="Times New Roman"/>
          <w:color w:val="auto"/>
          <w:sz w:val="24"/>
          <w:szCs w:val="24"/>
        </w:rPr>
      </w:pPr>
      <w:r w:rsidRPr="006D0CE4">
        <w:rPr>
          <w:rFonts w:ascii="Times New Roman" w:hAnsi="Times New Roman"/>
          <w:color w:val="auto"/>
          <w:sz w:val="24"/>
          <w:szCs w:val="24"/>
        </w:rPr>
        <w:t xml:space="preserve">Vaiko teisių apsaugos kontrolierė, nematydama vykdomosios valdžios iniciatyvų sprendžiant teisės aktų nustatytų reikalavimų dėl vaiko teisių apsaugos skyrių statuso savivaldybių administracijų struktūroje įgyvendinimo klausimą, dar 2011 metais kreipėsi į Vilniaus, Klaipėdos, Marijampolės ir Raseinių savivaldybių tarybas ir Vyriausybės atstovus apskrityse dėl Lietuvos Respublikos Vyriausybės 2002 m. gruodžio 17 d. nutarimo Nr.1983 (su vėlesniais pakeitimais) „Dėl bendrųjų vaiko teisių apsaugos skyrių nuostatų patvirtinimo“ nuostatų tinkamo įgyvendinimo. Marijampolės savivaldybės tarybai atsisakius įgyvendinti aukščiau minėto Vyriausybės nutarimo nuostatas ir pakeisti vaiko teisių apsaugos skyriaus pavaldumą, klausimas buvo nagrinėjamas teisme. Lietuvos vyriausiasis administracinis teismas 2013-06-18 nutartimi (byla Nr. A-444-1131-13) suformavo teismų praktiką šioje srityje ir pateikė paminėtų teisės aktų nuostatų išaiškinimą, pažymėdamas, kad savivaldybės veiklos laisvė ir savarankiškumas nėra absoliutus, o yra ribojamas Konstitucijos ir įstatymų savivaldybei suteiktos kompetencijos (Konstitucijos 120 str. 2 d.). Ši konstitucinė vietos savivaldos nuostata yra įtvirtinta ir </w:t>
      </w:r>
      <w:bookmarkStart w:id="1" w:name="n4_24"/>
      <w:r w:rsidRPr="006D0CE4">
        <w:rPr>
          <w:rFonts w:ascii="Times New Roman" w:hAnsi="Times New Roman"/>
          <w:color w:val="auto"/>
          <w:sz w:val="24"/>
          <w:szCs w:val="24"/>
        </w:rPr>
        <w:t>Vietos savivaldos įstatymo</w:t>
      </w:r>
      <w:bookmarkStart w:id="2" w:name="pn4_24"/>
      <w:bookmarkEnd w:id="1"/>
      <w:bookmarkEnd w:id="2"/>
      <w:r w:rsidRPr="006D0CE4">
        <w:rPr>
          <w:rFonts w:ascii="Times New Roman" w:hAnsi="Times New Roman"/>
          <w:color w:val="auto"/>
          <w:sz w:val="24"/>
          <w:szCs w:val="24"/>
        </w:rPr>
        <w:t xml:space="preserve"> </w:t>
      </w:r>
      <w:bookmarkStart w:id="3" w:name="n4_25"/>
      <w:r w:rsidRPr="006D0CE4">
        <w:rPr>
          <w:rFonts w:ascii="Times New Roman" w:hAnsi="Times New Roman"/>
          <w:color w:val="auto"/>
          <w:sz w:val="24"/>
          <w:szCs w:val="24"/>
        </w:rPr>
        <w:t>4</w:t>
      </w:r>
      <w:bookmarkStart w:id="4" w:name="pn4_25"/>
      <w:bookmarkEnd w:id="3"/>
      <w:bookmarkEnd w:id="4"/>
      <w:r w:rsidRPr="006D0CE4">
        <w:rPr>
          <w:rFonts w:ascii="Times New Roman" w:hAnsi="Times New Roman"/>
          <w:color w:val="auto"/>
          <w:sz w:val="24"/>
          <w:szCs w:val="24"/>
        </w:rPr>
        <w:t xml:space="preserve"> straipsnyje, kuriame yra nurodyti vietos savivaldos principai, kuriais grindžiama vietos savivalda, tarp jų: savivaldybių savarankiškumo ir veiklos laisvės pagal </w:t>
      </w:r>
      <w:bookmarkStart w:id="5" w:name="n4_26"/>
      <w:r w:rsidRPr="006D0CE4">
        <w:rPr>
          <w:rFonts w:ascii="Times New Roman" w:hAnsi="Times New Roman"/>
          <w:color w:val="auto"/>
          <w:sz w:val="24"/>
          <w:szCs w:val="24"/>
        </w:rPr>
        <w:t>Konstitucijoje</w:t>
      </w:r>
      <w:bookmarkStart w:id="6" w:name="pn4_26"/>
      <w:bookmarkEnd w:id="5"/>
      <w:bookmarkEnd w:id="6"/>
      <w:r w:rsidRPr="006D0CE4">
        <w:rPr>
          <w:rFonts w:ascii="Times New Roman" w:hAnsi="Times New Roman"/>
          <w:color w:val="auto"/>
          <w:sz w:val="24"/>
          <w:szCs w:val="24"/>
        </w:rPr>
        <w:t xml:space="preserve"> ir </w:t>
      </w:r>
      <w:bookmarkStart w:id="7" w:name="n4_27"/>
      <w:r w:rsidRPr="006D0CE4">
        <w:rPr>
          <w:rFonts w:ascii="Times New Roman" w:hAnsi="Times New Roman"/>
          <w:color w:val="auto"/>
          <w:sz w:val="24"/>
          <w:szCs w:val="24"/>
        </w:rPr>
        <w:t>įstatymuose</w:t>
      </w:r>
      <w:bookmarkStart w:id="8" w:name="pn4_27"/>
      <w:bookmarkEnd w:id="7"/>
      <w:bookmarkEnd w:id="8"/>
      <w:r w:rsidRPr="006D0CE4">
        <w:rPr>
          <w:rFonts w:ascii="Times New Roman" w:hAnsi="Times New Roman"/>
          <w:color w:val="auto"/>
          <w:sz w:val="24"/>
          <w:szCs w:val="24"/>
        </w:rPr>
        <w:t xml:space="preserve"> apibrėžtą kompetenciją principas (2 p.); savivaldybės veiklos ir savivaldybės institucijų priimamų </w:t>
      </w:r>
      <w:bookmarkStart w:id="9" w:name="n4_28"/>
      <w:r w:rsidRPr="006D0CE4">
        <w:rPr>
          <w:rFonts w:ascii="Times New Roman" w:hAnsi="Times New Roman"/>
          <w:color w:val="auto"/>
          <w:sz w:val="24"/>
          <w:szCs w:val="24"/>
        </w:rPr>
        <w:t>sprendimų</w:t>
      </w:r>
      <w:bookmarkStart w:id="10" w:name="pn4_28"/>
      <w:bookmarkEnd w:id="9"/>
      <w:bookmarkEnd w:id="10"/>
      <w:r w:rsidRPr="006D0CE4">
        <w:rPr>
          <w:rFonts w:ascii="Times New Roman" w:hAnsi="Times New Roman"/>
          <w:color w:val="auto"/>
          <w:sz w:val="24"/>
          <w:szCs w:val="24"/>
        </w:rPr>
        <w:t xml:space="preserve"> teisėtumo principas, pagal kurį savivaldybės institucijų ir kitų savivaldybės viešojo administravimo subjektų veikla ir visais jų veiklos klausimais priimti </w:t>
      </w:r>
      <w:bookmarkStart w:id="11" w:name="n4_29"/>
      <w:r w:rsidRPr="006D0CE4">
        <w:rPr>
          <w:rFonts w:ascii="Times New Roman" w:hAnsi="Times New Roman"/>
          <w:color w:val="auto"/>
          <w:sz w:val="24"/>
          <w:szCs w:val="24"/>
        </w:rPr>
        <w:t>sprendimai</w:t>
      </w:r>
      <w:bookmarkStart w:id="12" w:name="pn4_29"/>
      <w:bookmarkEnd w:id="11"/>
      <w:bookmarkEnd w:id="12"/>
      <w:r w:rsidRPr="006D0CE4">
        <w:rPr>
          <w:rFonts w:ascii="Times New Roman" w:hAnsi="Times New Roman"/>
          <w:color w:val="auto"/>
          <w:sz w:val="24"/>
          <w:szCs w:val="24"/>
        </w:rPr>
        <w:t xml:space="preserve"> turi atitikti </w:t>
      </w:r>
      <w:bookmarkStart w:id="13" w:name="n4_30"/>
      <w:r w:rsidRPr="006D0CE4">
        <w:rPr>
          <w:rFonts w:ascii="Times New Roman" w:hAnsi="Times New Roman"/>
          <w:color w:val="auto"/>
          <w:sz w:val="24"/>
          <w:szCs w:val="24"/>
        </w:rPr>
        <w:t>įstatymų</w:t>
      </w:r>
      <w:bookmarkStart w:id="14" w:name="pn4_30"/>
      <w:bookmarkEnd w:id="13"/>
      <w:bookmarkEnd w:id="14"/>
      <w:r w:rsidRPr="006D0CE4">
        <w:rPr>
          <w:rFonts w:ascii="Times New Roman" w:hAnsi="Times New Roman"/>
          <w:color w:val="auto"/>
          <w:sz w:val="24"/>
          <w:szCs w:val="24"/>
        </w:rPr>
        <w:t xml:space="preserve"> ir kitų teisės aktų reikalavimus (6 p.). </w:t>
      </w:r>
    </w:p>
    <w:p w:rsidR="006D0CE4" w:rsidRPr="006D0CE4" w:rsidRDefault="006D0CE4" w:rsidP="006D0CE4">
      <w:pPr>
        <w:suppressAutoHyphens/>
        <w:autoSpaceDN w:val="0"/>
        <w:spacing w:after="0" w:line="240" w:lineRule="auto"/>
        <w:ind w:firstLine="697"/>
        <w:jc w:val="both"/>
        <w:textAlignment w:val="baseline"/>
        <w:rPr>
          <w:rFonts w:ascii="Times New Roman" w:eastAsia="Calibri" w:hAnsi="Times New Roman" w:cs="Times New Roman"/>
          <w:sz w:val="24"/>
          <w:szCs w:val="24"/>
        </w:rPr>
      </w:pPr>
      <w:r w:rsidRPr="006D0CE4">
        <w:rPr>
          <w:rFonts w:ascii="Times New Roman" w:eastAsia="Calibri" w:hAnsi="Times New Roman" w:cs="Times New Roman"/>
          <w:sz w:val="24"/>
          <w:szCs w:val="24"/>
        </w:rPr>
        <w:t>Vaiko teisių apsaugos kontrolierė ne kartą akcentavo, kad Bendrųjų vaiko teisių apsaugos skyrių, patvirtintų Lietuvos Respublikos Vyriausybės 2002 m. gruodžio 17 d. nutarimu (</w:t>
      </w:r>
      <w:r w:rsidRPr="006D0CE4">
        <w:rPr>
          <w:rFonts w:ascii="Times New Roman" w:eastAsia="Times New Roman" w:hAnsi="Times New Roman" w:cs="Times New Roman"/>
          <w:sz w:val="24"/>
          <w:szCs w:val="24"/>
          <w:lang w:eastAsia="lt-LT"/>
        </w:rPr>
        <w:t>2009 m. gruodžio 2 d. nutarimu Nr. 1593 patvirtinta redakcija su vėlesniais pakeitimais)</w:t>
      </w:r>
      <w:r w:rsidRPr="006D0CE4">
        <w:rPr>
          <w:rFonts w:ascii="Times New Roman" w:eastAsia="Calibri" w:hAnsi="Times New Roman" w:cs="Times New Roman"/>
          <w:sz w:val="24"/>
          <w:szCs w:val="24"/>
        </w:rPr>
        <w:t xml:space="preserve"> nuostatų 21 punkte įtvirtinus tiesioginį vaiko teisių apsaugos skyriaus pavaldumą administracijos direktoriui buvo siekiama užtikrinti vaiko teisių apsaugos skyriaus savarankiškumą kitų savivaldybės administracijos struktūrinių padalinių atžvilgiu ir sudaryti prielaidas tinkamam pagrindinės funkcijos – vaiko teisių ir interesų atstovavimo bei apsaugos – įgyvendinimui. </w:t>
      </w:r>
    </w:p>
    <w:p w:rsidR="006D0CE4" w:rsidRPr="006D0CE4" w:rsidRDefault="006D0CE4" w:rsidP="006D0CE4">
      <w:pPr>
        <w:spacing w:after="0" w:line="240" w:lineRule="auto"/>
        <w:ind w:firstLine="697"/>
        <w:jc w:val="both"/>
        <w:rPr>
          <w:rFonts w:ascii="Times New Roman" w:hAnsi="Times New Roman" w:cs="Times New Roman"/>
          <w:sz w:val="24"/>
          <w:szCs w:val="24"/>
        </w:rPr>
      </w:pPr>
      <w:r w:rsidRPr="006D0CE4">
        <w:rPr>
          <w:rFonts w:ascii="Times New Roman" w:eastAsia="Calibri" w:hAnsi="Times New Roman" w:cs="Times New Roman"/>
          <w:sz w:val="24"/>
          <w:szCs w:val="24"/>
        </w:rPr>
        <w:t xml:space="preserve">Vaiko teisių apsaugos kontrolierė, vykdydama vaiko teisių užtikrinimo padėties stebėseną 2015 metais </w:t>
      </w:r>
      <w:r w:rsidRPr="006D0CE4">
        <w:rPr>
          <w:rFonts w:ascii="Times New Roman" w:hAnsi="Times New Roman" w:cs="Times New Roman"/>
          <w:sz w:val="24"/>
          <w:szCs w:val="24"/>
        </w:rPr>
        <w:t>atkreipė kompetentingų institucijų dėmesį į Širvintų rajono savivaldybės tarybos 2015-08-04 sprendimą „Dėl didžiausio leistino Širvintų rajono savivaldybės administracijos valstybės tarnautojų pareigybių ir darbuotojų, dirbančių pagal darbo sutartis ir gaunančių užmokestį iš savivaldybės biudžeto, skaičiaus nustatymo ir Širvintų rajono savivaldybės administracijos struktūros patvirtinimo“, kuriuo buvo panaikintas vaiko teisių apsaugos skyrius, kaip savarankiškas savivaldybės administracijos struktūrinis padalinys. Įvertindama aplinkybę, kad pagal Vaiko teisių apsaugos kontrolieriaus įstatymo 16 straipsnio 3 dalį vaiko teisių apsaugos kontrolierius negali tirti savivaldybių tarybų (kaip kolegialių institucijų) veiklos ir sprendimų, vaiko teisių apsaugos kontrolierė Vyriausybės atstovui Vilniaus apskrityje pažymėjo, kad tokie struktūriniai ir vidaus administravimo sprendimai sąlygoja praktines vaiko teisių apsaugos ir užtikrinimo bei (po)skyrių veiklos problemas (pvz. sunkumai atstovaujant vaikų interesus ir atliekant skyriams pavestas funkcijas teismuose bei teisėsaugos institucijose, nes Civiliniame, Civilinio proceso, Baudžiamojo proceso kodeksuose nustatyta, kad vaiko interesus atstovauja valstybinės vaiko teisių apsaugos institucijos atstovas ir pan.), prieštarauja galiojantiems teisės aktams, suformuotai teismų praktikai šiuo klausimu bei neatitinka geriausių vaiko interesų užtikrinimo principo, tačiau padėtis minėtoje savivaldybėje iš esmės liko nepakitusi.</w:t>
      </w:r>
    </w:p>
    <w:p w:rsidR="006D0CE4" w:rsidRPr="006D0CE4" w:rsidRDefault="006D0CE4" w:rsidP="006D0CE4">
      <w:pPr>
        <w:pStyle w:val="prastasiniatinklio"/>
        <w:shd w:val="clear" w:color="auto" w:fill="FFFFFF"/>
        <w:spacing w:before="0" w:after="0" w:line="240" w:lineRule="auto"/>
        <w:ind w:firstLine="697"/>
        <w:jc w:val="both"/>
        <w:rPr>
          <w:rFonts w:ascii="Times New Roman" w:hAnsi="Times New Roman"/>
          <w:sz w:val="24"/>
          <w:szCs w:val="24"/>
        </w:rPr>
      </w:pPr>
      <w:r w:rsidRPr="006D0CE4">
        <w:rPr>
          <w:rFonts w:ascii="Times New Roman" w:hAnsi="Times New Roman"/>
          <w:color w:val="auto"/>
          <w:sz w:val="24"/>
          <w:szCs w:val="24"/>
        </w:rPr>
        <w:t xml:space="preserve">Širvintų rajono apylinkės teismo 2017-03-13 kreipimasis į vaiko teisių apsaugos kontrolierę dėl Širvintų rajono savivaldybės administracijos Vaiko teisių apsaugos poskyrio veiklos organizavimo, </w:t>
      </w:r>
      <w:r w:rsidRPr="006D0CE4">
        <w:rPr>
          <w:rFonts w:ascii="Times New Roman" w:hAnsi="Times New Roman"/>
          <w:color w:val="auto"/>
          <w:sz w:val="24"/>
          <w:szCs w:val="24"/>
        </w:rPr>
        <w:lastRenderedPageBreak/>
        <w:t>specialistų kompetencijų rengiant procesinius dokumentus teismui ir vaiko teisių apsaugos kontrolierės surinkta informacija nagrinėjant šį kreipimąsi patvirtino, jog Socialinės paramos ir v</w:t>
      </w:r>
      <w:r w:rsidRPr="006D0CE4">
        <w:rPr>
          <w:rStyle w:val="Emfaz"/>
          <w:rFonts w:ascii="Times New Roman" w:hAnsi="Times New Roman"/>
          <w:i w:val="0"/>
          <w:color w:val="auto"/>
          <w:sz w:val="24"/>
          <w:szCs w:val="24"/>
        </w:rPr>
        <w:t xml:space="preserve">aiko teisių apsaugos poskyris ir Širvintų rajono savivaldybės administracija nuolat susidurdavo su problemomis atstovaujant vaikų interesus teisme dėl netinkamos procesinės padėties ir procese dalyvaujančio subjekto (vaiko teisių apsaugos poskyrio vedėjai nebuvo suteikta teisė pasirašyti dokumentus). Nors ši problema buvo žinoma savivaldybės administracijai bei Valstybės vaiko teisių apsaugos ir įvaikinimo tarnybai, iki pastarojo teismo kreipimosi šis klausimas iš esmės nebuvo sprendžiamas. Vykdomosios valdžios institucijos, atsakingos už vaiko teisių apsaugos politikos priemonių įgyvendinimą, vaiko teisių apsaugos skyrių vienodos praktikos formavimą ir metodinį vadovavimą skyriams, neskyrė deramo dėmesio problemoms spręsti. Valstybės vaiko teisių apsaugos ir įvaikinimo tarnyba teikė metodinę pagalbą Širvintų rajono savivaldybės administracijos Vaiko teisių apsaugos poskyriui, tačiau Socialinės apsaugos ir darbo ministeriją informavo apie padėtį aptariamoje savivaldybėje tik po 2017-03-13 teismo pakartotinio kreipimosi. Tarnyba, atsakydama į nevienkartinius teismo </w:t>
      </w:r>
      <w:proofErr w:type="spellStart"/>
      <w:r w:rsidRPr="006D0CE4">
        <w:rPr>
          <w:rStyle w:val="Emfaz"/>
          <w:rFonts w:ascii="Times New Roman" w:hAnsi="Times New Roman"/>
          <w:i w:val="0"/>
          <w:color w:val="auto"/>
          <w:sz w:val="24"/>
          <w:szCs w:val="24"/>
        </w:rPr>
        <w:t>kreipimusis</w:t>
      </w:r>
      <w:proofErr w:type="spellEnd"/>
      <w:r w:rsidRPr="006D0CE4">
        <w:rPr>
          <w:rStyle w:val="Emfaz"/>
          <w:rFonts w:ascii="Times New Roman" w:hAnsi="Times New Roman"/>
          <w:i w:val="0"/>
          <w:color w:val="auto"/>
          <w:sz w:val="24"/>
          <w:szCs w:val="24"/>
        </w:rPr>
        <w:t xml:space="preserve"> dėl Širvintų Vaiko teisių poskyrio veiklos problemų, pripažino, kad poskyrio struktūrinė padėtis neatitinka teisės aktų reikalavimų, tačiau laikėsi pozicijos, kad skyriaus struktūrinės padėties (ir įgaliojimų) neatitikimas teisės aktų reikalavimams neturėtų eliminuoti Širvintų rajono savivaldybės administracijos Vaiko teisių apsaugos poskyrio  teisės atstovauti vaiko interesams teisme. </w:t>
      </w:r>
    </w:p>
    <w:p w:rsidR="006D0CE4" w:rsidRPr="006D0CE4" w:rsidRDefault="006D0CE4" w:rsidP="006D0CE4">
      <w:pPr>
        <w:pStyle w:val="prastasiniatinklio"/>
        <w:shd w:val="clear" w:color="auto" w:fill="FFFFFF"/>
        <w:spacing w:before="0" w:after="0" w:line="240" w:lineRule="auto"/>
        <w:ind w:firstLine="709"/>
        <w:jc w:val="both"/>
        <w:rPr>
          <w:rFonts w:ascii="Times New Roman" w:hAnsi="Times New Roman"/>
          <w:color w:val="auto"/>
          <w:sz w:val="24"/>
          <w:szCs w:val="24"/>
        </w:rPr>
      </w:pPr>
      <w:r w:rsidRPr="006D0CE4">
        <w:rPr>
          <w:rStyle w:val="Emfaz"/>
          <w:rFonts w:ascii="Times New Roman" w:hAnsi="Times New Roman"/>
          <w:i w:val="0"/>
          <w:color w:val="auto"/>
          <w:sz w:val="24"/>
          <w:szCs w:val="24"/>
        </w:rPr>
        <w:t>Iš susitikimo su Širvintų rajono apylinkės teismo pirmininke ir teisėjais metu gautos informacijos bei susipažinus su pateiktais vaiko teisių apsaugos kontrolierei dokumentais matyti, kad skyriaus darbuotojai neturi reikalingų specialiųjų žinių, susijusių su procesinių dokumentų rengimu, neįvertina ir nevykdo skyriui (poskyriui) nustatytų pareigų dėl vertintų aplinkybių ir informacijos apie jas pateikimo procesiniuose dokumentuose. Surinkta informacija rodo, kad dėl negebėjimo pašalinti procesinių dokumentų trūkumus, teismas neretai juos grąžindavo arba Vaiko teisių apsaugos poskyris juos atsiimdavo, tokiu būdu buvo nesprendžiami arba delsiama spręsti klausimus, susijusius su vaiko teisių užtikrinimu ir skyriui (poskyriui) pavestų funkcijų vykdymu.</w:t>
      </w:r>
      <w:r w:rsidRPr="006D0CE4">
        <w:rPr>
          <w:rFonts w:ascii="Times New Roman" w:hAnsi="Times New Roman"/>
          <w:sz w:val="24"/>
          <w:szCs w:val="24"/>
        </w:rPr>
        <w:t xml:space="preserve"> Surinkti duomenys parodė, kad </w:t>
      </w:r>
      <w:r w:rsidRPr="006D0CE4">
        <w:rPr>
          <w:rStyle w:val="Emfaz"/>
          <w:rFonts w:ascii="Times New Roman" w:hAnsi="Times New Roman"/>
          <w:i w:val="0"/>
          <w:color w:val="auto"/>
          <w:sz w:val="24"/>
          <w:szCs w:val="24"/>
        </w:rPr>
        <w:t xml:space="preserve">formuojant naują Vaiko teisių apsaugos poskyrį ir priimant į jį tarnautojus nebuvo laikomasi socialinės apsaugos ir darbo ministro patvirtinto </w:t>
      </w:r>
      <w:r w:rsidRPr="006D0CE4">
        <w:rPr>
          <w:rFonts w:ascii="Times New Roman" w:hAnsi="Times New Roman"/>
          <w:color w:val="auto"/>
          <w:sz w:val="24"/>
          <w:szCs w:val="24"/>
        </w:rPr>
        <w:t>Rekomendacinių specialiųjų kvalifikacijos reikalavimų asmenims, pretenduojantiems į savivaldybių administracijų vaiko teisių apsaugos skyrių valstybės tarnautojų pareigas, aprašo.</w:t>
      </w:r>
    </w:p>
    <w:p w:rsidR="006D0CE4" w:rsidRPr="006D0CE4" w:rsidRDefault="006D0CE4" w:rsidP="006D0CE4">
      <w:pPr>
        <w:pStyle w:val="prastasiniatinklio"/>
        <w:shd w:val="clear" w:color="auto" w:fill="FFFFFF"/>
        <w:spacing w:before="0" w:after="0" w:line="240" w:lineRule="auto"/>
        <w:ind w:firstLine="709"/>
        <w:jc w:val="both"/>
        <w:rPr>
          <w:rStyle w:val="Emfaz"/>
          <w:rFonts w:ascii="Times New Roman" w:hAnsi="Times New Roman"/>
          <w:i w:val="0"/>
          <w:color w:val="auto"/>
          <w:sz w:val="24"/>
          <w:szCs w:val="24"/>
        </w:rPr>
      </w:pPr>
      <w:r w:rsidRPr="006D0CE4">
        <w:rPr>
          <w:rFonts w:ascii="Times New Roman" w:hAnsi="Times New Roman"/>
          <w:color w:val="auto"/>
          <w:sz w:val="24"/>
          <w:szCs w:val="24"/>
        </w:rPr>
        <w:t xml:space="preserve">Širvintų rajono savivaldybės administracijos direktorė nurodė, kad </w:t>
      </w:r>
      <w:r w:rsidRPr="006D0CE4">
        <w:rPr>
          <w:rStyle w:val="Emfaz"/>
          <w:rFonts w:ascii="Times New Roman" w:hAnsi="Times New Roman"/>
          <w:i w:val="0"/>
          <w:color w:val="auto"/>
          <w:sz w:val="24"/>
          <w:szCs w:val="24"/>
        </w:rPr>
        <w:t>Širvintų rajono savivaldybės tarybos 2016-06-30 sprendimas Nr. 1-214 dėl reorganizacijos, atskiriant Vaiko teisių apsaugos poskyrį, nevykdomas todėl, kad vyksta teisminiai procesai, kuriuos inicijavo atleisti buvusio Vaiko teisių apsaugos skyriaus darbuotojai, siekdami grįžti į ankstesnes pareigas. Savivaldybės administracijos direktorės vertinimu, Vaiko teisių apsaugos poskyrio tarnautojai savo pareigas atlieka tinkamai. Vaiko teisių apsaugos kontrolierės vertinimu, vaiko teisių apsaugos skyriaus veiklos trūkumų neigimas rodo savivaldybės administracijos vadovų poziciją dėl vaiko teisių apsaugos specialistams reikalingų kompetencijų reikšmės ir požiūrį į vaiko teisių apsaugos funkcijos įgyvendinimą.</w:t>
      </w:r>
    </w:p>
    <w:p w:rsidR="006D0CE4" w:rsidRPr="006D0CE4" w:rsidRDefault="006D0CE4" w:rsidP="006D0CE4">
      <w:pPr>
        <w:spacing w:after="0" w:line="240" w:lineRule="auto"/>
        <w:ind w:firstLine="709"/>
        <w:jc w:val="both"/>
        <w:rPr>
          <w:rFonts w:ascii="Times New Roman" w:hAnsi="Times New Roman" w:cs="Times New Roman"/>
          <w:sz w:val="24"/>
          <w:szCs w:val="24"/>
        </w:rPr>
      </w:pPr>
      <w:r w:rsidRPr="006D0CE4">
        <w:rPr>
          <w:rFonts w:ascii="Times New Roman" w:hAnsi="Times New Roman" w:cs="Times New Roman"/>
          <w:color w:val="000000"/>
          <w:sz w:val="24"/>
          <w:szCs w:val="24"/>
        </w:rPr>
        <w:t xml:space="preserve">Vaiko teisių apsaugos kontrolierė, įvertindama tai, kad </w:t>
      </w:r>
      <w:r w:rsidRPr="006D0CE4">
        <w:rPr>
          <w:rStyle w:val="Emfaz"/>
          <w:rFonts w:ascii="Times New Roman" w:hAnsi="Times New Roman" w:cs="Times New Roman"/>
          <w:i w:val="0"/>
          <w:sz w:val="24"/>
          <w:szCs w:val="24"/>
        </w:rPr>
        <w:t xml:space="preserve">Valstybės vaiko teisių apsaugos ir įvaikinimo tarnybos </w:t>
      </w:r>
      <w:r w:rsidRPr="006D0CE4">
        <w:rPr>
          <w:rFonts w:ascii="Times New Roman" w:hAnsi="Times New Roman" w:cs="Times New Roman"/>
          <w:sz w:val="24"/>
          <w:szCs w:val="24"/>
        </w:rPr>
        <w:t xml:space="preserve">paskirtis – dalyvauti formuojant ir įgyvendinti valstybės politiką vaiko teisių apsaugos srityje, funkcijos –  koordinuoti savivaldybių administracijų vaiko teisių apsaugos skyrių, biurų, tarnybų veiklą, apibendrinti ir analizuoti savivaldybių vaiko teisių apsaugos skyrių veiklos statistiką, teikti savivaldybių vaiko teisių apsaugos skyriams metodinę pagalbą įgyvendinant vaiko teisių apsaugos priemones, rengti su vaiko teisių apsauga susijusių klausimų sprendimo apžvalgas ir formuoti vienodą savivaldybių vaiko teisių apsaugos skyrių veiklos praktiką, atkreipė šios tarnybos dėmesį į tai, kad Širvintų rajono savivaldybės administracija vis dar neatliko Vaiko teisių apsaugos poskyrio reorganizavimo, kas apsunkina funkcijų įgyvendinimą teismuose, nesilaiko Rekomendacinių specialiųjų kvalifikacijos reikalavimų asmenims, pretenduojantiems į savivaldybių administracijų vaiko teisių </w:t>
      </w:r>
      <w:r w:rsidRPr="006D0CE4">
        <w:rPr>
          <w:rFonts w:ascii="Times New Roman" w:hAnsi="Times New Roman" w:cs="Times New Roman"/>
          <w:sz w:val="24"/>
          <w:szCs w:val="24"/>
        </w:rPr>
        <w:lastRenderedPageBreak/>
        <w:t>apsaugos skyrių valstybės tarnautojų pareigas, aprašo ir paprašė  skirti ypatingą dėmesį šio poskyrio metodiniam vadovavimui ir, Tarnybos kompetencijos ribose, imtis priemonių, kad šio poskyrio funkcijos būtų atliekamos tinkamai.</w:t>
      </w:r>
    </w:p>
    <w:p w:rsidR="00302183" w:rsidRPr="006D0CE4" w:rsidRDefault="00302183"/>
    <w:sectPr w:rsidR="00302183" w:rsidRPr="006D0CE4">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81C46"/>
    <w:multiLevelType w:val="hybridMultilevel"/>
    <w:tmpl w:val="8D569302"/>
    <w:lvl w:ilvl="0" w:tplc="54A248C2">
      <w:start w:val="1"/>
      <w:numFmt w:val="decimal"/>
      <w:lvlText w:val="%1."/>
      <w:lvlJc w:val="left"/>
      <w:pPr>
        <w:ind w:left="1069" w:hanging="360"/>
      </w:pPr>
      <w:rPr>
        <w:rFonts w:eastAsia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E4"/>
    <w:rsid w:val="00302183"/>
    <w:rsid w:val="006D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DF95"/>
  <w15:chartTrackingRefBased/>
  <w15:docId w15:val="{05916B1F-9CEA-4BF0-8AA3-34A2C831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D0CE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0CE4"/>
    <w:pPr>
      <w:suppressAutoHyphens/>
      <w:autoSpaceDN w:val="0"/>
      <w:spacing w:line="256" w:lineRule="auto"/>
      <w:ind w:left="720"/>
      <w:textAlignment w:val="baseline"/>
    </w:pPr>
    <w:rPr>
      <w:rFonts w:ascii="Times New Roman" w:eastAsia="Calibri" w:hAnsi="Times New Roman" w:cs="Times New Roman"/>
      <w:sz w:val="24"/>
    </w:rPr>
  </w:style>
  <w:style w:type="paragraph" w:styleId="prastasiniatinklio">
    <w:name w:val="Normal (Web)"/>
    <w:basedOn w:val="prastasis"/>
    <w:rsid w:val="006D0CE4"/>
    <w:pPr>
      <w:suppressAutoHyphens/>
      <w:autoSpaceDN w:val="0"/>
      <w:spacing w:before="45" w:after="45" w:line="285" w:lineRule="atLeast"/>
      <w:textAlignment w:val="baseline"/>
    </w:pPr>
    <w:rPr>
      <w:rFonts w:ascii="Verdana" w:eastAsia="Times New Roman" w:hAnsi="Verdana" w:cs="Times New Roman"/>
      <w:color w:val="5D6067"/>
      <w:sz w:val="20"/>
      <w:szCs w:val="20"/>
      <w:lang w:eastAsia="lt-LT"/>
    </w:rPr>
  </w:style>
  <w:style w:type="character" w:styleId="Emfaz">
    <w:name w:val="Emphasis"/>
    <w:basedOn w:val="Numatytasispastraiposriftas"/>
    <w:rsid w:val="006D0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2018-03-01T15:13:00Z</dcterms:created>
  <dcterms:modified xsi:type="dcterms:W3CDTF">2018-03-01T15:14:00Z</dcterms:modified>
</cp:coreProperties>
</file>